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eastAsia="黑体"/>
          <w:sz w:val="32"/>
          <w:szCs w:val="32"/>
          <w:lang w:val="en-US" w:eastAsia="zh-CN"/>
        </w:rPr>
      </w:pPr>
      <w:r>
        <w:rPr>
          <w:rFonts w:hint="eastAsia"/>
          <w:sz w:val="32"/>
          <w:szCs w:val="32"/>
          <w:lang w:val="en-US" w:eastAsia="zh-CN"/>
        </w:rPr>
        <w:t>附件：</w:t>
      </w: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rFonts w:hint="eastAsia"/>
          <w:sz w:val="84"/>
          <w:szCs w:val="84"/>
        </w:rPr>
      </w:pPr>
      <w:r>
        <w:rPr>
          <w:rFonts w:hint="eastAsia"/>
          <w:sz w:val="84"/>
          <w:szCs w:val="84"/>
        </w:rPr>
        <w:t>湘西州行政审批服务局</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第一部分湘西州行政审批服务局概况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color w:val="000000"/>
          <w:kern w:val="0"/>
          <w:sz w:val="28"/>
          <w:szCs w:val="28"/>
          <w:lang w:val="en-US" w:eastAsia="zh-CN"/>
        </w:rPr>
      </w:pPr>
      <w:r>
        <w:rPr>
          <w:rFonts w:hint="eastAsia" w:ascii="仿宋_GB2312" w:hAnsi="仿宋_GB2312" w:cs="仿宋_GB2312"/>
          <w:color w:val="000000"/>
          <w:kern w:val="0"/>
          <w:sz w:val="28"/>
          <w:szCs w:val="28"/>
          <w:lang w:val="en-US" w:eastAsia="zh-CN"/>
        </w:rPr>
        <w:t>九、</w:t>
      </w:r>
      <w:r>
        <w:rPr>
          <w:rFonts w:hint="eastAsia" w:cs="仿宋_GB2312" w:asciiTheme="minorEastAsia" w:hAnsiTheme="minorEastAsia" w:eastAsiaTheme="minorEastAsia"/>
          <w:sz w:val="28"/>
          <w:szCs w:val="28"/>
        </w:rPr>
        <w:t>国有资本经营预算支出决算</w:t>
      </w:r>
      <w:r>
        <w:rPr>
          <w:rFonts w:hint="eastAsia" w:cs="仿宋_GB2312" w:asciiTheme="minorEastAsia" w:hAnsiTheme="minorEastAsia"/>
          <w:sz w:val="28"/>
          <w:szCs w:val="28"/>
          <w:lang w:val="en-US" w:eastAsia="zh-CN"/>
        </w:rPr>
        <w:t>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sz w:val="28"/>
          <w:szCs w:val="28"/>
        </w:rPr>
      </w:pPr>
      <w:r>
        <w:rPr>
          <w:rFonts w:hint="eastAsia" w:ascii="仿宋_GB2312" w:hAnsi="仿宋_GB2312" w:cs="仿宋_GB2312"/>
          <w:color w:val="000000"/>
          <w:kern w:val="0"/>
          <w:sz w:val="28"/>
          <w:szCs w:val="28"/>
          <w:lang w:val="en-US" w:eastAsia="zh-CN"/>
        </w:rPr>
        <w:t>十</w:t>
      </w:r>
      <w:r>
        <w:rPr>
          <w:rFonts w:ascii="仿宋_GB2312" w:hAnsi="仿宋_GB2312" w:cs="仿宋_GB2312"/>
          <w:color w:val="000000"/>
          <w:kern w:val="0"/>
          <w:sz w:val="28"/>
          <w:szCs w:val="28"/>
        </w:rPr>
        <w:t>、</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pStyle w:val="12"/>
        <w:spacing w:line="500" w:lineRule="exact"/>
        <w:ind w:firstLine="700" w:firstLineChars="2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十一</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其他重要事项情况说明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湘西州行政审批服务局概况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（一）根据中央的方针政策和省、州有关部署要求，制定推进全州行政审批、政务公开、政务服务、电子政务、服务热线、行政效能等工作的具体政策措施和有关规定。</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（二）推进、指导、协调、监督全州政务公开和政务服务工作及政务服务体系建设，负责州政务公开和政务服务工作领导小组办公室日常工作。</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（三）指导、协调、推进全州行政审批制度改革，负责州行政审批制度改革工作领导小组办公室日常工作。</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（四）推进、指导、协调、监督、管理全州电子政务工作；统筹推进、监督协调全州“互联网＋政务服务”工作，推进全州政务服务“一网通办”。</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（五）负责推进全州放管服改革工作；维护营商政务、法制等环境；协调、推进全州行政效能工作。</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（六）承担行政审批服务职能；指导、协调、推进、监督全州行政审批服务工作；指导县市行政审批服务局工作。</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（七）统筹推进全州政务服务中心标准化建设，领导州政务服务中心，推进州政务服务中心标准化建设和管理；指导、协调、推进、监督县市、乡镇（街道）、村（社区）政务（便民）服务中心工作。</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（八）负责州工程建设项目审批制度改革有关工作；牵头做好州工程建设项目审批竣工验收阶段有关工作；承担州工程建设项目审批制度改革领导小组联席会议办公室有关职能。</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（九）负责协调、指导全州电子政务工程建设项目管理工作；组织实施州本级电子政务工程建设项目的立项审批、技术审批、项目实施过程监管以及竣工验收等。</w:t>
      </w:r>
    </w:p>
    <w:p>
      <w:pPr>
        <w:ind w:firstLine="320" w:firstLineChars="100"/>
        <w:jc w:val="both"/>
        <w:rPr>
          <w:rFonts w:hint="eastAsia" w:asciiTheme="minorEastAsia" w:hAnsiTheme="minorEastAsia"/>
          <w:sz w:val="32"/>
          <w:szCs w:val="32"/>
        </w:rPr>
      </w:pPr>
      <w:r>
        <w:rPr>
          <w:rFonts w:hint="eastAsia" w:asciiTheme="minorEastAsia" w:hAnsiTheme="minorEastAsia"/>
          <w:sz w:val="32"/>
          <w:szCs w:val="32"/>
        </w:rPr>
        <w:t>（十）负责州本级“12345”政府服务热线建设和管理；推进、指导、协调、监督全州“12345”政府服务热线工作。</w:t>
      </w:r>
    </w:p>
    <w:p>
      <w:pPr>
        <w:ind w:firstLine="320" w:firstLineChars="100"/>
        <w:jc w:val="left"/>
        <w:rPr>
          <w:rFonts w:hint="eastAsia" w:asciiTheme="minorEastAsia" w:hAnsiTheme="minorEastAsia"/>
          <w:sz w:val="32"/>
          <w:szCs w:val="32"/>
        </w:rPr>
      </w:pPr>
      <w:r>
        <w:rPr>
          <w:rFonts w:hint="eastAsia" w:asciiTheme="minorEastAsia" w:hAnsiTheme="minorEastAsia"/>
          <w:sz w:val="32"/>
          <w:szCs w:val="32"/>
        </w:rPr>
        <w:t>（十一）完成州委、州人民政府交办的其他工作。</w:t>
      </w:r>
    </w:p>
    <w:p>
      <w:pPr>
        <w:jc w:val="left"/>
        <w:rPr>
          <w:rFonts w:hint="eastAsia" w:asciiTheme="minorEastAsia" w:hAnsiTheme="minorEastAsia"/>
          <w:b/>
          <w:bCs/>
          <w:sz w:val="32"/>
          <w:szCs w:val="32"/>
        </w:rPr>
      </w:pPr>
      <w:r>
        <w:rPr>
          <w:rFonts w:hint="eastAsia" w:asciiTheme="minorEastAsia" w:hAnsiTheme="minorEastAsia"/>
          <w:b/>
          <w:bCs/>
          <w:sz w:val="32"/>
          <w:szCs w:val="32"/>
        </w:rPr>
        <w:t>二、机构设置及决算单位构成</w:t>
      </w:r>
    </w:p>
    <w:p>
      <w:pPr>
        <w:jc w:val="left"/>
        <w:rPr>
          <w:rFonts w:hint="eastAsia" w:asciiTheme="minorEastAsia" w:hAnsiTheme="minorEastAsia"/>
          <w:sz w:val="32"/>
          <w:szCs w:val="32"/>
        </w:rPr>
      </w:pPr>
      <w:r>
        <w:rPr>
          <w:rFonts w:hint="eastAsia" w:asciiTheme="minorEastAsia" w:hAnsiTheme="minorEastAsia"/>
          <w:sz w:val="32"/>
          <w:szCs w:val="32"/>
        </w:rPr>
        <w:t>（一）内设机构设置。1、办公室（人事教育科）。协助局领导组织、协调、推进日常工作；负责局党组会议、局办公会议决议及各项规章制度的督办落实；负责各项制度和全局性文件材料的起草；负责局机关公文处理及印鉴、档案、财务、资产、后勤等管理工作；负责重要会议、政务信息、新闻宣传、建议提案办理、保密安全、信访维稳工作；负责局机关科室及所属事业单位各项工作的衔接与综合协调；负责局机关及所属事业单位的人事及机构编制管理和干部管理、教育、考核、培训等工作；负责局机关和所属事业单位及政务大厅党建、纪检监察、党风廉政和作风建设、文明单位（窗口）等系列创建、目标管理、绩效考核，以及工会、共青团、妇女、统战、关心下一代等工作。2、行政审批制度改革科（项目审批服务科）。指导、协调、推进全州行政审批制度改革工作；承担州行政审批制度改革领导小组办公室日常工作；统筹协调、推进全州“放管服”改革相关工作；负责编制政务服务事项目录有关工作；负责协调、推进全州行政效能工作，监督全州政务公开和政务服务行为，督促行政机关提高办事效率；维护营商政务、法制等环境；承担州工程建设项目审批制度改革领导小组联席会议办公室有关职能；负责州工程建设项目审批制度改革的有关工作；牵头做好竣工验收阶段有关工作。3、政务公开和服务科。负责政务公开和政务服务政策法规的贯彻落实；负责推进、指导、协调、监督全州政务公开和政务服务工作及政务服务体系建设；承担本局政务信息公开、政务舆情回应等工作；承担相关行政审批服务职能；指导、协调、推进、监督州直部门政务服务工作，负责推行政务服务帮代办制度；负责指导、推进全州政务服务中心标准化建设和管理。4、电子政务科。负责协调、指导全州电子政务工程建设项目管理工作，组织实施州级电子政务工程建设项目的立项审批、技术审批、项目实施过程监管以及竣工验收等；统筹推进、监督协调全州政务服务信息化建设和“互联网＋政务服务”工作；负责本局门户网站和网上办事大厅的建设和运行、维护，负责网络安全和电子设备、机房、监控室的管理和维护；指导、协调、监督和考核全州“12345”政府服务热线工作，负责州本级“12345”政府服务热线呼叫中心建设、运行、维护工作。</w:t>
      </w:r>
    </w:p>
    <w:p>
      <w:pPr>
        <w:jc w:val="left"/>
        <w:rPr>
          <w:rFonts w:ascii="黑体" w:hAnsi="黑体" w:eastAsia="黑体"/>
          <w:sz w:val="28"/>
          <w:szCs w:val="28"/>
        </w:rPr>
      </w:pPr>
      <w:r>
        <w:rPr>
          <w:rFonts w:hint="eastAsia" w:asciiTheme="minorEastAsia" w:hAnsiTheme="minorEastAsia"/>
          <w:sz w:val="32"/>
          <w:szCs w:val="32"/>
        </w:rPr>
        <w:t xml:space="preserve">   （二）决算单位构成。州行政审批服务局20</w:t>
      </w:r>
      <w:r>
        <w:rPr>
          <w:rFonts w:hint="eastAsia" w:asciiTheme="minorEastAsia" w:hAnsiTheme="minorEastAsia"/>
          <w:sz w:val="32"/>
          <w:szCs w:val="32"/>
          <w:lang w:val="en-US" w:eastAsia="zh-CN"/>
        </w:rPr>
        <w:t>20</w:t>
      </w:r>
      <w:r>
        <w:rPr>
          <w:rFonts w:hint="eastAsia" w:asciiTheme="minorEastAsia" w:hAnsiTheme="minorEastAsia"/>
          <w:sz w:val="32"/>
          <w:szCs w:val="32"/>
        </w:rPr>
        <w:t>年部门决算公开单位构成：州行政审批服务局本级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610.68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504.27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18.92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9.93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613.63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538.91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16.86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128.38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217.01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758.87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758.87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395" w:type="dxa"/>
        <w:tblInd w:w="0" w:type="dxa"/>
        <w:tblLayout w:type="fixed"/>
        <w:tblCellMar>
          <w:top w:w="0" w:type="dxa"/>
          <w:left w:w="0" w:type="dxa"/>
          <w:bottom w:w="0" w:type="dxa"/>
          <w:right w:w="0" w:type="dxa"/>
        </w:tblCellMar>
      </w:tblPr>
      <w:tblGrid>
        <w:gridCol w:w="421"/>
        <w:gridCol w:w="458"/>
        <w:gridCol w:w="3617"/>
        <w:gridCol w:w="1557"/>
        <w:gridCol w:w="1557"/>
        <w:gridCol w:w="1557"/>
        <w:gridCol w:w="1557"/>
        <w:gridCol w:w="1557"/>
        <w:gridCol w:w="1557"/>
        <w:gridCol w:w="1557"/>
      </w:tblGrid>
      <w:tr>
        <w:tblPrEx>
          <w:tblCellMar>
            <w:top w:w="0" w:type="dxa"/>
            <w:left w:w="0" w:type="dxa"/>
            <w:bottom w:w="0" w:type="dxa"/>
            <w:right w:w="0" w:type="dxa"/>
          </w:tblCellMar>
        </w:tblPrEx>
        <w:trPr>
          <w:trHeight w:val="435" w:hRule="atLeast"/>
        </w:trPr>
        <w:tc>
          <w:tcPr>
            <w:tcW w:w="1417"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2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2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48" w:hRule="atLeast"/>
        </w:trPr>
        <w:tc>
          <w:tcPr>
            <w:tcW w:w="409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48"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29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48"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29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48" w:hRule="atLeast"/>
        </w:trPr>
        <w:tc>
          <w:tcPr>
            <w:tcW w:w="409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48" w:hRule="atLeast"/>
        </w:trPr>
        <w:tc>
          <w:tcPr>
            <w:tcW w:w="409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613.63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610.68</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2.94</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580.16</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577.21</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2.94</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20103</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华文中宋" w:hAnsi="华文中宋" w:eastAsia="华文中宋" w:cs="宋体"/>
                <w:sz w:val="24"/>
                <w:szCs w:val="24"/>
              </w:rPr>
            </w:pPr>
            <w:r>
              <w:rPr>
                <w:rFonts w:hint="eastAsia" w:ascii="宋体" w:hAnsi="宋体" w:eastAsia="宋体" w:cs="宋体"/>
                <w:i w:val="0"/>
                <w:color w:val="000000"/>
                <w:kern w:val="0"/>
                <w:sz w:val="22"/>
                <w:szCs w:val="22"/>
                <w:u w:val="none"/>
                <w:lang w:val="en-US" w:eastAsia="zh-CN" w:bidi="ar"/>
              </w:rPr>
              <w:t>580.16</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577.21</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2.94</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2010301</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186.07</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186.07</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2010302</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273.54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270.60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2.94</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2010399</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120.54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120.54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17.75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17.75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0.55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0.55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2080109</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0.55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0.55</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行政事业单位养老支出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17.20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17.20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2080501</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3.96</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3.96</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2080505</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13.24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13.24</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卫生健康支出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5.79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5.79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行政事业单位医疗</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5.79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5.79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2101101</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行政单位医疗</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5.79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5.79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住房保障支出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9.93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9.93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22102</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住房改革支出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9.93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9.93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2210201</w:t>
            </w:r>
          </w:p>
        </w:tc>
        <w:tc>
          <w:tcPr>
            <w:tcW w:w="32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住房公积金</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9.93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9.93</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1417"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231" w:type="dxa"/>
        <w:tblInd w:w="91" w:type="dxa"/>
        <w:tblLayout w:type="fixed"/>
        <w:tblCellMar>
          <w:top w:w="0" w:type="dxa"/>
          <w:left w:w="108" w:type="dxa"/>
          <w:bottom w:w="0" w:type="dxa"/>
          <w:right w:w="108" w:type="dxa"/>
        </w:tblCellMar>
      </w:tblPr>
      <w:tblGrid>
        <w:gridCol w:w="1122"/>
        <w:gridCol w:w="239"/>
        <w:gridCol w:w="3306"/>
        <w:gridCol w:w="1701"/>
        <w:gridCol w:w="1701"/>
        <w:gridCol w:w="1701"/>
        <w:gridCol w:w="1701"/>
        <w:gridCol w:w="1701"/>
        <w:gridCol w:w="1701"/>
      </w:tblGrid>
      <w:tr>
        <w:tblPrEx>
          <w:tblCellMar>
            <w:top w:w="0" w:type="dxa"/>
            <w:left w:w="108" w:type="dxa"/>
            <w:bottom w:w="0" w:type="dxa"/>
            <w:right w:w="108" w:type="dxa"/>
          </w:tblCellMar>
        </w:tblPrEx>
        <w:trPr>
          <w:trHeight w:val="435" w:hRule="atLeast"/>
        </w:trPr>
        <w:tc>
          <w:tcPr>
            <w:tcW w:w="170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1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12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3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48" w:hRule="atLeast"/>
        </w:trPr>
        <w:tc>
          <w:tcPr>
            <w:tcW w:w="466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48" w:hRule="atLeast"/>
        </w:trPr>
        <w:tc>
          <w:tcPr>
            <w:tcW w:w="136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30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trPr>
        <w:tc>
          <w:tcPr>
            <w:tcW w:w="13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trPr>
        <w:tc>
          <w:tcPr>
            <w:tcW w:w="46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rPr>
          <w:trHeight w:val="448" w:hRule="atLeast"/>
        </w:trPr>
        <w:tc>
          <w:tcPr>
            <w:tcW w:w="46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538.91</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244.75</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294.17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504.27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294.17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504.27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294.17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2010301</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208.77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208.77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2010302</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234.17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234.17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2010399</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61.34</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1.34</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60.00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18.92</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18.92</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0.55</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0.55</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2080109</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0.55</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0.55</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18.37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18.37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2080501</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5.13</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5.13</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13.24</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13.24</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卫生健康支出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5.79</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5.79</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行政事业单位医疗</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5.79</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5.79</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2101101</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5.79</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5.79</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住房保障支出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9.93</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9.93</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住房改革支出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9.93</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9.93</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8" w:hRule="atLeast"/>
        </w:trPr>
        <w:tc>
          <w:tcPr>
            <w:tcW w:w="13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2210201</w:t>
            </w:r>
          </w:p>
        </w:tc>
        <w:tc>
          <w:tcPr>
            <w:tcW w:w="3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9.93</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9.93</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30" w:hRule="atLeast"/>
        </w:trPr>
        <w:tc>
          <w:tcPr>
            <w:tcW w:w="170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610.68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487.41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487.41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18.92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9.93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9.93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610.68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522.05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522.05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128.38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217.01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217.01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128.38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64"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739.06</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739.06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739.06</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522.05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227.88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294.17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487.41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193.24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294.17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487.41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193.24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294.17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191.90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191.90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234.17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61.34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18.92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18.92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0.55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0.55</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2080109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0.55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0.55</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18.37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18.37</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13.24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13.24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5.79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9.93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9.93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9.93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9.93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9.93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9.93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338"/>
        <w:gridCol w:w="3367"/>
        <w:gridCol w:w="876"/>
        <w:gridCol w:w="1026"/>
        <w:gridCol w:w="2316"/>
        <w:gridCol w:w="766"/>
        <w:gridCol w:w="953"/>
        <w:gridCol w:w="4206"/>
        <w:gridCol w:w="76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169.57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33.30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88.81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0.93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37.50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16.01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7.49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12.35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1.85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25.02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1.59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25.02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26.26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5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194.59</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33.30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6.81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4.80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年度收入总计613.63万元，与201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年相比，增加258.97万元，增加</w:t>
      </w:r>
      <w:r>
        <w:rPr>
          <w:rFonts w:hint="eastAsia" w:asciiTheme="minorEastAsia" w:hAnsiTheme="minorEastAsia" w:eastAsiaTheme="minorEastAsia"/>
          <w:sz w:val="32"/>
          <w:szCs w:val="32"/>
          <w:lang w:val="en-US" w:eastAsia="zh-CN"/>
        </w:rPr>
        <w:t>73.02</w:t>
      </w:r>
      <w:r>
        <w:rPr>
          <w:rFonts w:hint="eastAsia" w:asciiTheme="minorEastAsia" w:hAnsiTheme="minorEastAsia" w:eastAsiaTheme="minorEastAsia"/>
          <w:sz w:val="32"/>
          <w:szCs w:val="32"/>
        </w:rPr>
        <w:t>%，增加原因为一是人员工资调整；二是增加12345政府服务热线中心人员工资、运行管理费和综合服务窗口运行管理费。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年度支出总计538.91万元，与201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年相比，增加207.06 万元，增加</w:t>
      </w:r>
      <w:r>
        <w:rPr>
          <w:rFonts w:hint="eastAsia" w:asciiTheme="minorEastAsia" w:hAnsiTheme="minorEastAsia" w:eastAsiaTheme="minorEastAsia"/>
          <w:sz w:val="32"/>
          <w:szCs w:val="32"/>
          <w:lang w:val="en-US" w:eastAsia="zh-CN"/>
        </w:rPr>
        <w:t>62.04</w:t>
      </w:r>
      <w:r>
        <w:rPr>
          <w:rFonts w:hint="eastAsia" w:asciiTheme="minorEastAsia" w:hAnsiTheme="minorEastAsia" w:eastAsiaTheme="minorEastAsia"/>
          <w:sz w:val="32"/>
          <w:szCs w:val="32"/>
        </w:rPr>
        <w:t>%，增加原因为一是人员工资调整；二是增加12345政府服务热线中心人员工资、运行管理费和综合服务窗口运行管理费。</w:t>
      </w:r>
    </w:p>
    <w:p>
      <w:pPr>
        <w:pStyle w:val="12"/>
        <w:ind w:firstLine="640" w:firstLineChars="200"/>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本年收入合计613.63万元，其中：财政拨款收入610.68万元，占</w:t>
      </w:r>
      <w:r>
        <w:rPr>
          <w:rFonts w:hint="eastAsia" w:asciiTheme="minorEastAsia" w:hAnsiTheme="minorEastAsia" w:eastAsiaTheme="minorEastAsia"/>
          <w:sz w:val="32"/>
          <w:szCs w:val="32"/>
          <w:lang w:val="en-US" w:eastAsia="zh-CN"/>
        </w:rPr>
        <w:t>99.52</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2.94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0.48</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本年支出合计538.91万元，其中：基本支出244.75万元，占</w:t>
      </w:r>
      <w:r>
        <w:rPr>
          <w:rFonts w:hint="eastAsia" w:asciiTheme="minorEastAsia" w:hAnsiTheme="minorEastAsia" w:eastAsiaTheme="minorEastAsia"/>
          <w:sz w:val="32"/>
          <w:szCs w:val="32"/>
          <w:lang w:val="en-US" w:eastAsia="zh-CN"/>
        </w:rPr>
        <w:t>45.41</w:t>
      </w:r>
      <w:r>
        <w:rPr>
          <w:rFonts w:hint="eastAsia" w:asciiTheme="minorEastAsia" w:hAnsiTheme="minorEastAsia" w:eastAsiaTheme="minorEastAsia"/>
          <w:sz w:val="32"/>
          <w:szCs w:val="32"/>
        </w:rPr>
        <w:t>%；项目支出294.17 万元，占</w:t>
      </w:r>
      <w:r>
        <w:rPr>
          <w:rFonts w:hint="eastAsia" w:asciiTheme="minorEastAsia" w:hAnsiTheme="minorEastAsia" w:eastAsiaTheme="minorEastAsia"/>
          <w:sz w:val="32"/>
          <w:szCs w:val="32"/>
          <w:lang w:val="en-US" w:eastAsia="zh-CN"/>
        </w:rPr>
        <w:t>54.59</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四、财政拨款收入支出决算总体情况说明</w:t>
      </w:r>
    </w:p>
    <w:p>
      <w:pPr>
        <w:pStyle w:val="12"/>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2020年度收入总计</w:t>
      </w:r>
      <w:r>
        <w:rPr>
          <w:rFonts w:hint="eastAsia" w:asciiTheme="minorEastAsia" w:hAnsiTheme="minorEastAsia" w:eastAsiaTheme="minorEastAsia"/>
          <w:sz w:val="32"/>
          <w:szCs w:val="32"/>
          <w:lang w:val="en-US" w:eastAsia="zh-CN"/>
        </w:rPr>
        <w:t>610.68</w:t>
      </w:r>
      <w:r>
        <w:rPr>
          <w:rFonts w:hint="eastAsia" w:asciiTheme="minorEastAsia" w:hAnsiTheme="minorEastAsia" w:eastAsiaTheme="minorEastAsia"/>
          <w:sz w:val="32"/>
          <w:szCs w:val="32"/>
        </w:rPr>
        <w:t>万元，与2019年相比，增加</w:t>
      </w:r>
      <w:r>
        <w:rPr>
          <w:rFonts w:hint="eastAsia" w:asciiTheme="minorEastAsia" w:hAnsiTheme="minorEastAsia" w:eastAsiaTheme="minorEastAsia"/>
          <w:sz w:val="32"/>
          <w:szCs w:val="32"/>
          <w:lang w:val="en-US" w:eastAsia="zh-CN"/>
        </w:rPr>
        <w:t>354.65</w:t>
      </w:r>
      <w:r>
        <w:rPr>
          <w:rFonts w:hint="eastAsia" w:asciiTheme="minorEastAsia" w:hAnsiTheme="minorEastAsia" w:eastAsiaTheme="minorEastAsia"/>
          <w:sz w:val="32"/>
          <w:szCs w:val="32"/>
        </w:rPr>
        <w:t>万元，增加7</w:t>
      </w:r>
      <w:r>
        <w:rPr>
          <w:rFonts w:hint="eastAsia" w:asciiTheme="minorEastAsia" w:hAnsiTheme="minorEastAsia" w:eastAsiaTheme="minorEastAsia"/>
          <w:sz w:val="32"/>
          <w:szCs w:val="32"/>
          <w:lang w:val="en-US" w:eastAsia="zh-CN"/>
        </w:rPr>
        <w:t>2.19</w:t>
      </w:r>
      <w:r>
        <w:rPr>
          <w:rFonts w:hint="eastAsia" w:asciiTheme="minorEastAsia" w:hAnsiTheme="minorEastAsia" w:eastAsiaTheme="minorEastAsia"/>
          <w:sz w:val="32"/>
          <w:szCs w:val="32"/>
        </w:rPr>
        <w:t>%，增加原因为一是人员工资调整；二是增加12345政府服务热线中心人员工资、运行管理费和综合服务窗口运行管理费。</w:t>
      </w:r>
    </w:p>
    <w:p>
      <w:pPr>
        <w:pStyle w:val="12"/>
        <w:ind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2020年度支出总计</w:t>
      </w:r>
      <w:r>
        <w:rPr>
          <w:rFonts w:hint="eastAsia" w:asciiTheme="minorEastAsia" w:hAnsiTheme="minorEastAsia" w:eastAsiaTheme="minorEastAsia"/>
          <w:sz w:val="32"/>
          <w:szCs w:val="32"/>
          <w:lang w:val="en-US" w:eastAsia="zh-CN"/>
        </w:rPr>
        <w:t>522.05</w:t>
      </w:r>
      <w:r>
        <w:rPr>
          <w:rFonts w:hint="eastAsia" w:asciiTheme="minorEastAsia" w:hAnsiTheme="minorEastAsia" w:eastAsiaTheme="minorEastAsia"/>
          <w:sz w:val="32"/>
          <w:szCs w:val="32"/>
        </w:rPr>
        <w:t>万元，与2019年相比，增加</w:t>
      </w:r>
      <w:r>
        <w:rPr>
          <w:rFonts w:hint="eastAsia" w:asciiTheme="minorEastAsia" w:hAnsiTheme="minorEastAsia" w:eastAsiaTheme="minorEastAsia"/>
          <w:sz w:val="32"/>
          <w:szCs w:val="32"/>
          <w:lang w:val="en-US" w:eastAsia="zh-CN"/>
        </w:rPr>
        <w:t>219.76</w:t>
      </w:r>
      <w:r>
        <w:rPr>
          <w:rFonts w:hint="eastAsia" w:asciiTheme="minorEastAsia" w:hAnsiTheme="minorEastAsia" w:eastAsiaTheme="minorEastAsia"/>
          <w:sz w:val="32"/>
          <w:szCs w:val="32"/>
        </w:rPr>
        <w:t>万元，增加</w:t>
      </w:r>
      <w:r>
        <w:rPr>
          <w:rFonts w:hint="eastAsia" w:asciiTheme="minorEastAsia" w:hAnsiTheme="minorEastAsia" w:eastAsiaTheme="minorEastAsia"/>
          <w:sz w:val="32"/>
          <w:szCs w:val="32"/>
          <w:lang w:val="en-US" w:eastAsia="zh-CN"/>
        </w:rPr>
        <w:t>72.70</w:t>
      </w:r>
      <w:r>
        <w:rPr>
          <w:rFonts w:hint="eastAsia" w:asciiTheme="minorEastAsia" w:hAnsiTheme="minorEastAsia" w:eastAsiaTheme="minorEastAsia"/>
          <w:sz w:val="32"/>
          <w:szCs w:val="32"/>
        </w:rPr>
        <w:t>%，增加原因为一是人员工资调整；二是增加12345政府服务热线中心人员工资、运行管理费和综合服务窗口运行管理费。</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522.05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96.87</w:t>
      </w:r>
      <w:r>
        <w:rPr>
          <w:rFonts w:hint="eastAsia" w:asciiTheme="minorEastAsia" w:hAnsiTheme="minorEastAsia" w:eastAsiaTheme="minorEastAsia"/>
          <w:sz w:val="32"/>
          <w:szCs w:val="32"/>
        </w:rPr>
        <w:t>%，与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相比，财政拨款支出增加</w:t>
      </w:r>
      <w:r>
        <w:rPr>
          <w:rFonts w:hint="eastAsia" w:asciiTheme="minorEastAsia" w:hAnsiTheme="minorEastAsia" w:eastAsiaTheme="minorEastAsia"/>
          <w:sz w:val="32"/>
          <w:szCs w:val="32"/>
          <w:lang w:val="en-US" w:eastAsia="zh-CN"/>
        </w:rPr>
        <w:t>219.76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72.70</w:t>
      </w:r>
      <w:r>
        <w:rPr>
          <w:rFonts w:hint="eastAsia" w:asciiTheme="minorEastAsia" w:hAnsiTheme="minorEastAsia" w:eastAsiaTheme="minorEastAsia"/>
          <w:sz w:val="32"/>
          <w:szCs w:val="32"/>
        </w:rPr>
        <w:t>%，主要是因为本年度新增7名职工，相应增加人员经费收入跟支出</w:t>
      </w:r>
      <w:r>
        <w:rPr>
          <w:rFonts w:hint="eastAsia" w:asciiTheme="minorEastAsia" w:hAnsiTheme="minorEastAsia" w:eastAsiaTheme="minorEastAsia"/>
          <w:sz w:val="32"/>
          <w:szCs w:val="32"/>
          <w:lang w:eastAsia="zh-CN"/>
        </w:rPr>
        <w:t>。</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522.05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487.41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93.37</w:t>
      </w:r>
      <w:r>
        <w:rPr>
          <w:rFonts w:hint="eastAsia" w:asciiTheme="minorEastAsia" w:hAnsiTheme="minorEastAsia" w:eastAsiaTheme="minorEastAsia"/>
          <w:sz w:val="32"/>
          <w:szCs w:val="32"/>
        </w:rPr>
        <w:t>%；社会保障和就业支出（类）支出</w:t>
      </w:r>
      <w:r>
        <w:rPr>
          <w:rFonts w:hint="eastAsia" w:asciiTheme="minorEastAsia" w:hAnsiTheme="minorEastAsia" w:eastAsiaTheme="minorEastAsia"/>
          <w:sz w:val="32"/>
          <w:szCs w:val="32"/>
          <w:lang w:val="en-US" w:eastAsia="zh-CN"/>
        </w:rPr>
        <w:t>18.92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3.62</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5.79万元</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1.11%；</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9.93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1.90</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640" w:firstLineChars="200"/>
        <w:rPr>
          <w:rFonts w:hint="eastAsia" w:asciiTheme="minorEastAsia" w:hAnsiTheme="minorEastAsia" w:eastAsiaTheme="minorEastAsia"/>
          <w:sz w:val="32"/>
          <w:szCs w:val="32"/>
        </w:rPr>
      </w:pPr>
      <w:bookmarkStart w:id="66" w:name="_GoBack"/>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263.89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522.05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197.82</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1、一般公共服务--行政运行（2010301）。</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114.33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191.90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167.85%，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人员增加，</w:t>
      </w:r>
      <w:r>
        <w:rPr>
          <w:rFonts w:hint="eastAsia" w:asciiTheme="minorEastAsia" w:hAnsiTheme="minorEastAsia" w:eastAsiaTheme="minorEastAsia"/>
          <w:sz w:val="32"/>
          <w:szCs w:val="32"/>
        </w:rPr>
        <w:t>工资调标，人员社保支出增加。</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2、一般公共服务--一般行政管理事务支出（2010302）。</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120.60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234.17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194.17</w:t>
      </w:r>
      <w:r>
        <w:rPr>
          <w:rFonts w:hint="eastAsia" w:asciiTheme="minorEastAsia" w:hAnsiTheme="minorEastAsia" w:eastAsiaTheme="minorEastAsia"/>
          <w:sz w:val="32"/>
          <w:szCs w:val="32"/>
        </w:rPr>
        <w:t>%，决算数大于年初预算数的主要原因是：年中追加预算，未纳入单位的年初财政预算。</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3、一般公共服务--其他政府办公厅（室）及相关机构事务支出（2010399）。</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lang w:val="en-US" w:eastAsia="zh-CN"/>
        </w:rPr>
        <w:t>61.34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%，决算数大于年初预算数的主要原因是：年中追加预算，未纳入单位的年初财政预算，没有年初预算批复数。</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4、社会保障和就业支出--社会保险经办机构</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（2080109）</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%，决算数小于年初预算数的主要原因是：我单位离退休人员实际开支小于财政拨款开支。</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、社会保障和就业支出--归口管理的行政单位离退休</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（2080501）</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%，决算数小于年初预算数的主要原因是：我单位离退休人员实际开支小于财政拨款开支。</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、社会保障和就业支出-- 机关事业单位基本养老保险缴费支出</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（208050</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年初预算为13.24万元，支出决算为</w:t>
      </w:r>
      <w:r>
        <w:rPr>
          <w:rFonts w:hint="eastAsia" w:asciiTheme="minorEastAsia" w:hAnsiTheme="minorEastAsia" w:eastAsiaTheme="minorEastAsia"/>
          <w:sz w:val="32"/>
          <w:szCs w:val="32"/>
          <w:lang w:val="en-US" w:eastAsia="zh-CN"/>
        </w:rPr>
        <w:t>13.24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、卫生健康支出--行政单位医疗</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2101101</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5.79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、住房保障支出--住房公积金（2210201）</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9.93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bookmarkEnd w:id="66"/>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227.88</w:t>
      </w:r>
      <w:r>
        <w:rPr>
          <w:rFonts w:hint="eastAsia" w:asciiTheme="minorEastAsia" w:hAnsiTheme="minorEastAsia" w:eastAsiaTheme="minorEastAsia"/>
          <w:sz w:val="32"/>
          <w:szCs w:val="32"/>
        </w:rPr>
        <w:t>万元，其中：人员经费1</w:t>
      </w:r>
      <w:r>
        <w:rPr>
          <w:rFonts w:hint="eastAsia" w:asciiTheme="minorEastAsia" w:hAnsiTheme="minorEastAsia" w:eastAsiaTheme="minorEastAsia"/>
          <w:sz w:val="32"/>
          <w:szCs w:val="32"/>
          <w:lang w:val="en-US" w:eastAsia="zh-CN"/>
        </w:rPr>
        <w:t>94.58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85.39</w:t>
      </w:r>
      <w:r>
        <w:rPr>
          <w:rFonts w:hint="eastAsia" w:asciiTheme="minorEastAsia" w:hAnsiTheme="minorEastAsia" w:eastAsiaTheme="minorEastAsia"/>
          <w:sz w:val="32"/>
          <w:szCs w:val="32"/>
        </w:rPr>
        <w:t>%,主要包括基本工资、津贴补贴、奖金、伙食补助费、机关事业单位基本养老保险缴费、职业年金缴费、职工基本医疗保险缴费、住房公积金、其他工资福利；公用经费</w:t>
      </w:r>
      <w:r>
        <w:rPr>
          <w:rFonts w:hint="eastAsia" w:asciiTheme="minorEastAsia" w:hAnsiTheme="minorEastAsia" w:eastAsiaTheme="minorEastAsia"/>
          <w:sz w:val="32"/>
          <w:szCs w:val="32"/>
          <w:lang w:val="en-US" w:eastAsia="zh-CN"/>
        </w:rPr>
        <w:t>33.30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14.61</w:t>
      </w:r>
      <w:r>
        <w:rPr>
          <w:rFonts w:hint="eastAsia" w:asciiTheme="minorEastAsia" w:hAnsiTheme="minorEastAsia" w:eastAsiaTheme="minorEastAsia"/>
          <w:sz w:val="32"/>
          <w:szCs w:val="32"/>
        </w:rPr>
        <w:t>%，主要包括办公费、印刷费、水费、电费、邮电费、物业管理费、差旅费、维护费、会议费、培训费、公务接待费、劳务费、公务用车运行维护费、税金及附加费用、其他商品和服务支出。</w:t>
      </w:r>
    </w:p>
    <w:p>
      <w:pPr>
        <w:pStyle w:val="12"/>
        <w:ind w:firstLine="640" w:firstLineChars="200"/>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56.78</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95.99</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预算数的主要原因是认真落实中央和省关于过紧日子的决策部署，压减支出，与上年相比增加</w:t>
      </w:r>
      <w:r>
        <w:rPr>
          <w:rFonts w:hint="eastAsia" w:asciiTheme="minorEastAsia" w:hAnsiTheme="minorEastAsia" w:eastAsiaTheme="minorEastAsia"/>
          <w:sz w:val="32"/>
          <w:szCs w:val="32"/>
          <w:lang w:val="en-US" w:eastAsia="zh-CN"/>
        </w:rPr>
        <w:t>4.80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多次</w:t>
      </w:r>
      <w:r>
        <w:rPr>
          <w:rFonts w:hint="eastAsia" w:asciiTheme="minorEastAsia" w:hAnsiTheme="minorEastAsia" w:eastAsiaTheme="minorEastAsia"/>
          <w:sz w:val="32"/>
          <w:szCs w:val="32"/>
        </w:rPr>
        <w:t>行政审批、政务服务、放管服改革等工作发生的接待支出。</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7.00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28.78</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预算数的主要原因是认真落实中央和省关于过紧日子的决策部署，压减支出，与上年相比减少</w:t>
      </w:r>
      <w:r>
        <w:rPr>
          <w:rFonts w:hint="eastAsia" w:asciiTheme="minorEastAsia" w:hAnsiTheme="minorEastAsia" w:eastAsiaTheme="minorEastAsia"/>
          <w:sz w:val="32"/>
          <w:szCs w:val="32"/>
          <w:lang w:val="en-US" w:eastAsia="zh-CN"/>
        </w:rPr>
        <w:t>2.35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53.80</w:t>
      </w:r>
      <w:r>
        <w:rPr>
          <w:rFonts w:hint="eastAsia" w:asciiTheme="minorEastAsia" w:hAnsiTheme="minorEastAsia" w:eastAsiaTheme="minorEastAsia"/>
          <w:sz w:val="32"/>
          <w:szCs w:val="32"/>
        </w:rPr>
        <w:t>%,减少（增长）的主要原因是认真落实中央和省关于过紧日子的决策部署，压减支出。</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4.80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70.44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29.56</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4.80</w:t>
      </w:r>
      <w:r>
        <w:rPr>
          <w:rFonts w:hint="eastAsia" w:asciiTheme="minorEastAsia" w:hAnsiTheme="minorEastAsia" w:eastAsiaTheme="minorEastAsia"/>
          <w:sz w:val="32"/>
          <w:szCs w:val="32"/>
        </w:rPr>
        <w:t>万元，全年共接待来</w:t>
      </w:r>
      <w:r>
        <w:rPr>
          <w:rFonts w:hint="eastAsia" w:asciiTheme="minorEastAsia" w:hAnsiTheme="minorEastAsia" w:eastAsiaTheme="minorEastAsia"/>
          <w:sz w:val="32"/>
          <w:szCs w:val="32"/>
          <w:lang w:val="en-US" w:eastAsia="zh-CN"/>
        </w:rPr>
        <w:t>73批次</w:t>
      </w:r>
      <w:r>
        <w:rPr>
          <w:rFonts w:hint="eastAsia" w:asciiTheme="minorEastAsia" w:hAnsiTheme="minorEastAsia" w:eastAsiaTheme="minorEastAsia"/>
          <w:sz w:val="32"/>
          <w:szCs w:val="32"/>
        </w:rPr>
        <w:t>、来宾</w:t>
      </w:r>
      <w:r>
        <w:rPr>
          <w:rFonts w:hint="eastAsia" w:asciiTheme="minorEastAsia" w:hAnsiTheme="minorEastAsia" w:eastAsiaTheme="minorEastAsia"/>
          <w:sz w:val="32"/>
          <w:szCs w:val="32"/>
          <w:lang w:val="en-US" w:eastAsia="zh-CN"/>
        </w:rPr>
        <w:t>301</w:t>
      </w:r>
      <w:r>
        <w:rPr>
          <w:rFonts w:hint="eastAsia" w:asciiTheme="minorEastAsia" w:hAnsiTheme="minorEastAsia" w:eastAsiaTheme="minorEastAsia"/>
          <w:sz w:val="32"/>
          <w:szCs w:val="32"/>
        </w:rPr>
        <w:t>人，主要是行政审批、政务服务、放管服改革等工作发生的接待支出。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2.01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2.01</w:t>
      </w:r>
      <w:r>
        <w:rPr>
          <w:rFonts w:hint="eastAsia" w:asciiTheme="minorEastAsia" w:hAnsiTheme="minorEastAsia"/>
          <w:sz w:val="32"/>
          <w:szCs w:val="32"/>
        </w:rPr>
        <w:t>万元，主要是</w:t>
      </w:r>
      <w:r>
        <w:rPr>
          <w:rFonts w:hint="eastAsia" w:asciiTheme="minorEastAsia" w:hAnsiTheme="minorEastAsia"/>
          <w:sz w:val="32"/>
          <w:szCs w:val="32"/>
          <w:lang w:eastAsia="zh-CN"/>
        </w:rPr>
        <w:t>车辆运行费开支</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eastAsia="zh-CN"/>
        </w:rPr>
        <w:t>支出。</w:t>
      </w:r>
    </w:p>
    <w:p>
      <w:pPr>
        <w:pStyle w:val="12"/>
        <w:numPr>
          <w:ilvl w:val="0"/>
          <w:numId w:val="0"/>
        </w:numPr>
        <w:spacing w:line="500" w:lineRule="exact"/>
        <w:rPr>
          <w:rFonts w:hint="eastAsia" w:hAnsi="黑体" w:cs="黑体"/>
          <w:sz w:val="32"/>
          <w:szCs w:val="32"/>
          <w:lang w:val="en-US" w:eastAsia="zh-CN"/>
        </w:rPr>
      </w:pPr>
      <w:r>
        <w:rPr>
          <w:rFonts w:hint="eastAsia" w:hAnsi="黑体" w:cs="黑体"/>
          <w:sz w:val="32"/>
          <w:szCs w:val="32"/>
          <w:lang w:val="en-US" w:eastAsia="zh-CN"/>
        </w:rPr>
        <w:t>九、</w:t>
      </w:r>
      <w:r>
        <w:rPr>
          <w:rFonts w:hint="eastAsia" w:ascii="黑体" w:hAnsi="黑体" w:eastAsia="黑体" w:cs="黑体"/>
          <w:sz w:val="32"/>
          <w:szCs w:val="32"/>
        </w:rPr>
        <w:t>国有资本经营预算支出决算</w:t>
      </w:r>
      <w:r>
        <w:rPr>
          <w:rFonts w:hint="eastAsia" w:hAnsi="黑体" w:cs="黑体"/>
          <w:sz w:val="32"/>
          <w:szCs w:val="32"/>
          <w:lang w:val="en-US" w:eastAsia="zh-CN"/>
        </w:rPr>
        <w:t>情况</w:t>
      </w:r>
    </w:p>
    <w:p>
      <w:pPr>
        <w:pStyle w:val="12"/>
        <w:ind w:firstLine="640"/>
        <w:rPr>
          <w:rFonts w:hint="eastAsia" w:eastAsia="宋体 (正文)" w:asciiTheme="minorEastAsia" w:hAnsiTheme="minorEastAsia"/>
          <w:i/>
          <w:color w:val="FF0000"/>
          <w:sz w:val="32"/>
          <w:szCs w:val="32"/>
          <w:lang w:eastAsia="zh-CN"/>
        </w:rPr>
      </w:pPr>
      <w:r>
        <w:rPr>
          <w:rFonts w:hint="eastAsia" w:ascii="宋体 (正文)" w:hAnsi="宋体 (正文)" w:eastAsia="宋体 (正文)" w:cs="宋体 (正文)"/>
          <w:sz w:val="32"/>
          <w:szCs w:val="32"/>
          <w:lang w:val="en-US" w:eastAsia="zh-CN"/>
        </w:rPr>
        <w:t>2020年度无</w:t>
      </w:r>
      <w:r>
        <w:rPr>
          <w:rFonts w:hint="eastAsia" w:ascii="宋体 (正文)" w:hAnsi="宋体 (正文)" w:eastAsia="宋体 (正文)" w:cs="宋体 (正文)"/>
          <w:sz w:val="32"/>
          <w:szCs w:val="32"/>
        </w:rPr>
        <w:t>国有资本经营预算</w:t>
      </w:r>
      <w:r>
        <w:rPr>
          <w:rFonts w:hint="eastAsia" w:ascii="宋体 (正文)" w:hAnsi="宋体 (正文)" w:eastAsia="宋体 (正文)" w:cs="宋体 (正文)"/>
          <w:sz w:val="32"/>
          <w:szCs w:val="32"/>
          <w:lang w:eastAsia="zh-CN"/>
        </w:rPr>
        <w:t>支出。</w:t>
      </w:r>
    </w:p>
    <w:p>
      <w:pPr>
        <w:pStyle w:val="12"/>
        <w:rPr>
          <w:rFonts w:hAnsi="黑体"/>
          <w:b/>
          <w:sz w:val="32"/>
          <w:szCs w:val="32"/>
        </w:rPr>
      </w:pPr>
      <w:r>
        <w:rPr>
          <w:rFonts w:hint="eastAsia" w:ascii="黑体" w:hAnsi="黑体" w:eastAsia="黑体" w:cs="黑体"/>
          <w:i/>
          <w:color w:val="000000" w:themeColor="text1"/>
          <w:sz w:val="32"/>
          <w:szCs w:val="32"/>
          <w:lang w:val="en-US" w:eastAsia="zh-CN"/>
          <w14:textFill>
            <w14:solidFill>
              <w14:schemeClr w14:val="tx1"/>
            </w14:solidFill>
          </w14:textFill>
        </w:rPr>
        <w:t>十、</w:t>
      </w:r>
      <w:r>
        <w:rPr>
          <w:rFonts w:hint="eastAsia" w:hAnsi="黑体"/>
          <w:b/>
          <w:sz w:val="32"/>
          <w:szCs w:val="32"/>
        </w:rPr>
        <w:t>关于2020年度预算绩效情况的说明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12"/>
        <w:rPr>
          <w:rFonts w:hint="default" w:hAnsi="黑体"/>
          <w:b/>
          <w:sz w:val="32"/>
          <w:szCs w:val="32"/>
          <w:lang w:val="en-US" w:eastAsia="zh-CN"/>
        </w:rPr>
      </w:pPr>
      <w:r>
        <w:rPr>
          <w:rFonts w:hint="eastAsia" w:hAnsi="黑体"/>
          <w:b/>
          <w:sz w:val="32"/>
          <w:szCs w:val="32"/>
          <w:lang w:val="en-US" w:eastAsia="zh-CN"/>
        </w:rPr>
        <w:t>十一、其他重要事项情况说明</w:t>
      </w:r>
    </w:p>
    <w:p>
      <w:pPr>
        <w:pStyle w:val="12"/>
        <w:rPr>
          <w:rFonts w:hint="eastAsia" w:hAnsi="黑体" w:eastAsia="黑体"/>
          <w:b/>
          <w:sz w:val="32"/>
          <w:szCs w:val="32"/>
          <w:lang w:eastAsia="zh-CN"/>
        </w:rPr>
      </w:pPr>
      <w:r>
        <w:rPr>
          <w:rFonts w:hint="eastAsia" w:hAnsi="黑体"/>
          <w:b/>
          <w:sz w:val="32"/>
          <w:szCs w:val="32"/>
          <w:lang w:val="en-US" w:eastAsia="zh-CN"/>
        </w:rPr>
        <w:t xml:space="preserve">    （一）</w:t>
      </w:r>
      <w:r>
        <w:rPr>
          <w:rFonts w:hint="eastAsia" w:hAnsi="黑体"/>
          <w:b/>
          <w:sz w:val="32"/>
          <w:szCs w:val="32"/>
        </w:rPr>
        <w:t>关于机关运行经费支出</w:t>
      </w:r>
      <w:r>
        <w:rPr>
          <w:rFonts w:hint="eastAsia" w:hAnsi="黑体"/>
          <w:b/>
          <w:sz w:val="32"/>
          <w:szCs w:val="32"/>
          <w:lang w:val="en-US" w:eastAsia="zh-CN"/>
        </w:rPr>
        <w:t>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33.30</w:t>
      </w:r>
      <w:r>
        <w:rPr>
          <w:rFonts w:hint="eastAsia" w:asciiTheme="minorEastAsia" w:hAnsiTheme="minorEastAsia" w:eastAsiaTheme="minorEastAsia"/>
          <w:sz w:val="32"/>
          <w:szCs w:val="32"/>
        </w:rPr>
        <w:t>万元，比上年决算数增加31.40 万元，增长（降低）</w:t>
      </w:r>
      <w:r>
        <w:rPr>
          <w:rFonts w:hint="eastAsia" w:asciiTheme="minorEastAsia" w:hAnsiTheme="minorEastAsia" w:eastAsiaTheme="minorEastAsia"/>
          <w:sz w:val="32"/>
          <w:szCs w:val="32"/>
          <w:lang w:val="en-US" w:eastAsia="zh-CN"/>
        </w:rPr>
        <w:t>1652.47</w:t>
      </w:r>
      <w:r>
        <w:rPr>
          <w:rFonts w:hint="eastAsia" w:asciiTheme="minorEastAsia" w:hAnsiTheme="minorEastAsia" w:eastAsiaTheme="minorEastAsia"/>
          <w:sz w:val="32"/>
          <w:szCs w:val="32"/>
        </w:rPr>
        <w:t>%。主要原因是：本年度加职工7名，相应增加日常办公经费，且受疫情影响，增加购买疫情物质支出。</w:t>
      </w:r>
    </w:p>
    <w:p>
      <w:pPr>
        <w:pStyle w:val="12"/>
        <w:ind w:firstLine="640" w:firstLineChars="200"/>
        <w:rPr>
          <w:rFonts w:hAnsi="黑体"/>
          <w:b/>
          <w:sz w:val="32"/>
          <w:szCs w:val="32"/>
        </w:rPr>
      </w:pPr>
      <w:r>
        <w:rPr>
          <w:rFonts w:hint="eastAsia" w:hAnsi="黑体"/>
          <w:b/>
          <w:sz w:val="32"/>
          <w:szCs w:val="32"/>
          <w:lang w:eastAsia="zh-CN"/>
        </w:rPr>
        <w:t>（</w:t>
      </w:r>
      <w:r>
        <w:rPr>
          <w:rFonts w:hint="eastAsia" w:hAnsi="黑体"/>
          <w:b/>
          <w:sz w:val="32"/>
          <w:szCs w:val="32"/>
          <w:lang w:val="en-US" w:eastAsia="zh-CN"/>
        </w:rPr>
        <w:t>二</w:t>
      </w:r>
      <w:r>
        <w:rPr>
          <w:rFonts w:hint="eastAsia" w:hAnsi="黑体"/>
          <w:b/>
          <w:sz w:val="32"/>
          <w:szCs w:val="32"/>
          <w:lang w:eastAsia="zh-CN"/>
        </w:rPr>
        <w:t>）</w:t>
      </w:r>
      <w:r>
        <w:rPr>
          <w:rFonts w:hint="eastAsia" w:hAnsi="黑体"/>
          <w:b/>
          <w:sz w:val="32"/>
          <w:szCs w:val="32"/>
        </w:rPr>
        <w:t>一般性支出情况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0.40</w:t>
      </w:r>
      <w:r>
        <w:rPr>
          <w:rFonts w:hint="eastAsia" w:asciiTheme="minorEastAsia" w:hAnsiTheme="minorEastAsia" w:eastAsiaTheme="minorEastAsia"/>
          <w:sz w:val="32"/>
          <w:szCs w:val="32"/>
        </w:rPr>
        <w:t>万元，用于召开全州性工作调度、推进等会议，人数150余人，内容为行政审批、政务服务、放管服改革等工作性会议；开支培训费0</w:t>
      </w:r>
      <w:r>
        <w:rPr>
          <w:rFonts w:hint="eastAsia" w:asciiTheme="minorEastAsia" w:hAnsiTheme="minorEastAsia" w:eastAsiaTheme="minorEastAsia"/>
          <w:sz w:val="32"/>
          <w:szCs w:val="32"/>
          <w:lang w:val="en-US" w:eastAsia="zh-CN"/>
        </w:rPr>
        <w:t>.59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用于</w:t>
      </w:r>
      <w:r>
        <w:rPr>
          <w:rFonts w:hint="eastAsia" w:asciiTheme="minorEastAsia" w:hAnsiTheme="minorEastAsia" w:eastAsiaTheme="minorEastAsia"/>
          <w:sz w:val="32"/>
          <w:szCs w:val="32"/>
          <w:lang w:eastAsia="zh-CN"/>
        </w:rPr>
        <w:t>培训一体化服务</w:t>
      </w:r>
      <w:r>
        <w:rPr>
          <w:rFonts w:hint="eastAsia" w:asciiTheme="minorEastAsia" w:hAnsiTheme="minorEastAsia" w:eastAsiaTheme="minorEastAsia"/>
          <w:sz w:val="32"/>
          <w:szCs w:val="32"/>
        </w:rPr>
        <w:t>。</w:t>
      </w:r>
    </w:p>
    <w:p>
      <w:pPr>
        <w:pStyle w:val="12"/>
        <w:rPr>
          <w:rFonts w:hint="eastAsia" w:hAnsi="黑体" w:eastAsia="黑体"/>
          <w:b/>
          <w:sz w:val="32"/>
          <w:szCs w:val="32"/>
          <w:lang w:eastAsia="zh-CN"/>
        </w:rPr>
      </w:pPr>
      <w:r>
        <w:rPr>
          <w:rFonts w:hint="eastAsia" w:hAnsi="黑体"/>
          <w:b/>
          <w:sz w:val="32"/>
          <w:szCs w:val="32"/>
          <w:lang w:val="en-US" w:eastAsia="zh-CN"/>
        </w:rPr>
        <w:t xml:space="preserve">   （三）</w:t>
      </w:r>
      <w:r>
        <w:rPr>
          <w:rFonts w:hint="eastAsia" w:hAnsi="黑体"/>
          <w:b/>
          <w:sz w:val="32"/>
          <w:szCs w:val="32"/>
        </w:rPr>
        <w:t>政府采购支出</w:t>
      </w:r>
      <w:r>
        <w:rPr>
          <w:rFonts w:hint="eastAsia" w:hAnsi="黑体"/>
          <w:b/>
          <w:sz w:val="32"/>
          <w:szCs w:val="32"/>
          <w:lang w:val="en-US" w:eastAsia="zh-CN"/>
        </w:rPr>
        <w:t>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106.80</w:t>
      </w:r>
      <w:r>
        <w:rPr>
          <w:rFonts w:hint="eastAsia" w:asciiTheme="minorEastAsia" w:hAnsiTheme="minorEastAsia" w:eastAsiaTheme="minorEastAsia"/>
          <w:sz w:val="32"/>
          <w:szCs w:val="32"/>
        </w:rPr>
        <w:t>万元，其中：政府采购货物支出106.80万元。授予中小企业合同金额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320" w:firstLineChars="100"/>
        <w:rPr>
          <w:rFonts w:hAnsi="黑体"/>
          <w:b/>
          <w:sz w:val="32"/>
          <w:szCs w:val="32"/>
        </w:rPr>
      </w:pPr>
      <w:r>
        <w:rPr>
          <w:rFonts w:hint="eastAsia" w:hAnsi="黑体"/>
          <w:b/>
          <w:sz w:val="32"/>
          <w:szCs w:val="32"/>
          <w:lang w:eastAsia="zh-CN"/>
        </w:rPr>
        <w:t>（</w:t>
      </w:r>
      <w:r>
        <w:rPr>
          <w:rFonts w:hint="eastAsia" w:hAnsi="黑体"/>
          <w:b/>
          <w:sz w:val="32"/>
          <w:szCs w:val="32"/>
          <w:lang w:val="en-US" w:eastAsia="zh-CN"/>
        </w:rPr>
        <w:t>四</w:t>
      </w:r>
      <w:r>
        <w:rPr>
          <w:rFonts w:hint="eastAsia" w:hAnsi="黑体"/>
          <w:b/>
          <w:sz w:val="32"/>
          <w:szCs w:val="32"/>
          <w:lang w:eastAsia="zh-CN"/>
        </w:rPr>
        <w:t>）</w:t>
      </w:r>
      <w:r>
        <w:rPr>
          <w:rFonts w:hint="eastAsia" w:hAnsi="黑体"/>
          <w:b/>
          <w:sz w:val="32"/>
          <w:szCs w:val="32"/>
        </w:rPr>
        <w:t>国有资产占用情况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jc w:val="center"/>
        <w:rPr>
          <w:rFonts w:asciiTheme="minorEastAsia" w:hAnsiTheme="minorEastAsia"/>
          <w:sz w:val="32"/>
          <w:szCs w:val="32"/>
        </w:rPr>
      </w:pPr>
      <w:r>
        <w:rPr>
          <w:rFonts w:hint="eastAsia" w:cs="黑体" w:asciiTheme="minorEastAsia" w:hAnsiTheme="minorEastAsia"/>
          <w:color w:val="000000"/>
          <w:kern w:val="0"/>
          <w:sz w:val="32"/>
          <w:szCs w:val="32"/>
        </w:rPr>
        <w:t xml:space="preserve">                </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578" w:lineRule="atLeast"/>
        <w:jc w:val="center"/>
        <w:rPr>
          <w:rFonts w:ascii="方正小标宋_GBK" w:eastAsia="方正小标宋_GBK" w:cs="Arial"/>
          <w:bCs/>
          <w:sz w:val="44"/>
          <w:szCs w:val="44"/>
        </w:rPr>
      </w:pPr>
      <w:r>
        <w:rPr>
          <w:rFonts w:hint="eastAsia" w:ascii="方正小标宋_GBK" w:eastAsia="方正小标宋_GBK" w:cs="Arial"/>
          <w:bCs/>
          <w:sz w:val="44"/>
          <w:szCs w:val="44"/>
        </w:rPr>
        <w:t>湘西自治州行政审批服务局</w:t>
      </w:r>
    </w:p>
    <w:p>
      <w:pPr>
        <w:spacing w:line="578" w:lineRule="atLeast"/>
        <w:jc w:val="center"/>
        <w:rPr>
          <w:rFonts w:ascii="方正小标宋_GBK" w:eastAsia="方正小标宋_GBK" w:cs="Arial"/>
          <w:b/>
          <w:bCs/>
          <w:sz w:val="44"/>
          <w:szCs w:val="44"/>
        </w:rPr>
      </w:pPr>
      <w:r>
        <w:rPr>
          <w:rFonts w:hint="eastAsia" w:ascii="方正小标宋_GBK" w:eastAsia="方正小标宋_GBK" w:cs="Arial"/>
          <w:bCs/>
          <w:sz w:val="44"/>
          <w:szCs w:val="44"/>
        </w:rPr>
        <w:t>整体支出绩效评价报告</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为加强财政资金管理，强化支出责任，提高财政资金的使用效益，根据中共中央国务院《关于全面实施预算绩效管理的意见》（中发〔2018〕34号）、《中共湖南省委办公厅 湖南省人民政府办公厅关于全面实施预算绩效管理的实施意见》（湘办发〔2019〕10 号）、《党政机关厉行节约反对浪费条例》、《湘西自治州财政局关于印发湘西自治州州级预算部门整体支出绩效自评操作规程的通知》等文件的要求，本单位运用科学、合理的绩效评价指标、评价标准和评价方法，在收集、汇总、整理、分析相关资料及实地调研核查的基础上，对湘西自治州行政审批服务局2020年部门整体支出开展绩效评价，本次评价遵循“科学规范、公正公开、分类管理、绩效相关”的原则，现将绩效自评情况报告如下：</w:t>
      </w: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（一）部门（单位）基本情况</w:t>
      </w:r>
    </w:p>
    <w:p>
      <w:pPr>
        <w:autoSpaceDE w:val="0"/>
        <w:spacing w:line="540" w:lineRule="exact"/>
        <w:ind w:firstLine="640" w:firstLineChars="200"/>
        <w:rPr>
          <w:rFonts w:ascii="仿宋" w:hAnsi="仿宋" w:eastAsia="仿宋"/>
          <w:sz w:val="32"/>
          <w:szCs w:val="32"/>
        </w:rPr>
      </w:pPr>
      <w:r>
        <w:rPr>
          <w:rFonts w:hint="eastAsia" w:ascii="仿宋" w:hAnsi="仿宋" w:eastAsia="仿宋" w:cs="宋体"/>
          <w:kern w:val="0"/>
          <w:sz w:val="32"/>
          <w:szCs w:val="32"/>
        </w:rPr>
        <w:t>湘西州行政审批服务局为正处级全额拨款行政机关，为政府工作部门。内设办公室(人事教育科)、行政审批制度改革科(项目审批服务科)、电子政务科、政务公开和服务科四个职能科室。核定编制数22个。局机关下设二级机构一个为州政务服务中心，中心为全额拨款的事业单位，核定编制数10个。年末实有人数13人。其中,</w:t>
      </w:r>
      <w:r>
        <w:rPr>
          <w:rFonts w:hint="eastAsia" w:ascii="仿宋" w:hAnsi="仿宋" w:eastAsia="仿宋"/>
          <w:sz w:val="32"/>
          <w:szCs w:val="32"/>
        </w:rPr>
        <w:t>1、办公室（人事教育科）。协助局领导组织、协调、推进日常工作；负责局党组会议、局办公会议决议及各项规章制度的督办落实；负责各项制度和全局性文件材料的起草；负责局机关公文处理及印鉴、档案、财务、资产、后勤等管理工作；负责重要会议、政务信息、新闻宣传、建议提案办理、保密安全、信访维稳工作；负责局机关科室及所属事业单位各项工作的衔接与综合协调；负责局机关及所属事业单位的人事及机构编制管理和干部管理、教育、考核、培训等工作；负责局机关和所属事业单位及政务大厅党建、纪检监察、党风廉政和作风建设、文明单位（窗口）等系列创建、目标管理、绩效考核，以及工会、共青团、妇女、统战、关心下一代等工作。2、</w:t>
      </w:r>
      <w:r>
        <w:rPr>
          <w:rFonts w:hint="eastAsia" w:ascii="仿宋" w:hAnsi="仿宋" w:eastAsia="仿宋"/>
          <w:color w:val="000000"/>
          <w:sz w:val="32"/>
          <w:szCs w:val="32"/>
        </w:rPr>
        <w:t>行政审批制度改革科（项目审批服务科）。指导、协调、推进全州行政审批制度改革工作；承担州行政审批制度改革领导小组办公室日常工作；统筹协调、推进全州“放管服”改革相关工作；负责编制政务服务事项目录有关工作；</w:t>
      </w:r>
      <w:r>
        <w:rPr>
          <w:rFonts w:hint="eastAsia" w:ascii="仿宋" w:hAnsi="仿宋" w:eastAsia="仿宋"/>
          <w:bCs/>
          <w:color w:val="000000"/>
          <w:sz w:val="32"/>
          <w:szCs w:val="32"/>
        </w:rPr>
        <w:t>负责协调、推进全州行政效能工作，监督全州政务公开和政务服务行为，督促行政机关提高办事效率；维护营商政务、法制等环境</w:t>
      </w:r>
      <w:r>
        <w:rPr>
          <w:rFonts w:hint="eastAsia" w:ascii="仿宋" w:hAnsi="仿宋" w:eastAsia="仿宋"/>
          <w:color w:val="000000"/>
          <w:sz w:val="32"/>
          <w:szCs w:val="32"/>
        </w:rPr>
        <w:t>；承担州工程建设项目审批制度改革领导小组联席会议办公室有关职能；负责州工程建设项目审批制度改革的有关工作；牵头做好竣工验收阶段有关工作。</w:t>
      </w:r>
      <w:r>
        <w:rPr>
          <w:rFonts w:hint="eastAsia" w:ascii="仿宋" w:hAnsi="仿宋" w:eastAsia="仿宋"/>
          <w:sz w:val="32"/>
          <w:szCs w:val="32"/>
        </w:rPr>
        <w:t>3、政务公开和服务科。</w:t>
      </w:r>
      <w:r>
        <w:rPr>
          <w:rFonts w:hint="eastAsia" w:ascii="仿宋" w:hAnsi="仿宋" w:eastAsia="仿宋"/>
          <w:color w:val="000000"/>
          <w:sz w:val="32"/>
          <w:szCs w:val="32"/>
        </w:rPr>
        <w:t>负责政务公开和政务服务政策法规的贯彻落实；负责推进、指导、协调、监督全州政务公开和政务服务工作及政务服务体系建设；承担本局政务信息公开、政务舆情回应等工作；承担相关行政审批服务职能；指导、协调、推进、监督州直部门政务服务工作，负责推行政务服务帮代办制度；负责指导、推进全州政务服务中心标准化建设和管理。</w:t>
      </w:r>
      <w:r>
        <w:rPr>
          <w:rFonts w:hint="eastAsia" w:ascii="仿宋" w:hAnsi="仿宋" w:eastAsia="仿宋"/>
          <w:sz w:val="32"/>
          <w:szCs w:val="32"/>
        </w:rPr>
        <w:t>4、电子政务科。</w:t>
      </w:r>
      <w:r>
        <w:rPr>
          <w:rFonts w:hint="eastAsia" w:ascii="仿宋" w:hAnsi="仿宋" w:eastAsia="仿宋"/>
          <w:color w:val="000000"/>
          <w:sz w:val="32"/>
          <w:szCs w:val="32"/>
        </w:rPr>
        <w:t>负责协调、指导全州电子政务工程建设项目管理工作，组织实施州级电子政务工程建设项目的立项审批、技术审批、项目实施过程监管以及竣工验收等；统筹推进、监督协调全州政务服务信息化建设和“互联网＋政务服务”工作；负责本局门户网站和网上办事大厅的建设和运行、维护，负责网络安全和电子设备、机房、监控室的管理和维护；指导、协调、监督和考核全州“12345”政府服务热线工作，负责州本级“12345”政府服务热线呼叫中心建设、运行、维护工作。</w:t>
      </w:r>
    </w:p>
    <w:p>
      <w:pPr>
        <w:numPr>
          <w:ilvl w:val="0"/>
          <w:numId w:val="2"/>
        </w:numPr>
        <w:spacing w:line="600" w:lineRule="exact"/>
        <w:ind w:left="-13" w:firstLine="643"/>
        <w:rPr>
          <w:rFonts w:ascii="黑体" w:hAnsi="黑体" w:eastAsia="黑体" w:cs="黑体"/>
          <w:bCs/>
          <w:sz w:val="32"/>
          <w:szCs w:val="32"/>
        </w:rPr>
      </w:pPr>
      <w:r>
        <w:rPr>
          <w:rFonts w:hint="eastAsia" w:ascii="黑体" w:hAnsi="黑体" w:eastAsia="黑体" w:cs="黑体"/>
          <w:bCs/>
          <w:sz w:val="32"/>
          <w:szCs w:val="32"/>
        </w:rPr>
        <w:t>部门（单位）年度整体支出绩效目标，州级专项资金绩效目标、其他项目支出（除州级专项资金以外）绩效目标</w:t>
      </w:r>
    </w:p>
    <w:p>
      <w:pPr>
        <w:widowControl/>
        <w:autoSpaceDE w:val="0"/>
        <w:spacing w:line="480"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按照中央、省关于深化“放管服”改革和行政审批服务的部署，坚持“为深化改革而为”的理念和全州一盘棋的思路，以持续推进《湘西自治州政务服务导则》的落实为主线，以深入推进“放管服”和“一件事一次办”改革为重点，以推行跨域（省）通办为突破，以服务实体经济发展和“六稳六保”为目标，以强化“互联网+政务服务”一体化平台建设和应用为手段，以“三进”各级政务大厅为抓手，以队伍建设为保障，统筹做好全年工作的推进落实，不断优化营商环境，促进我州社会经济高质量发展，推进政府治理体系和治理能力现代化，建设人民满意的服务型、法治型政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二、一般公共预算支出情况</w:t>
      </w:r>
    </w:p>
    <w:p>
      <w:pPr>
        <w:spacing w:line="600" w:lineRule="exact"/>
        <w:ind w:firstLine="643"/>
        <w:rPr>
          <w:rFonts w:ascii="黑体" w:hAnsi="黑体" w:eastAsia="黑体" w:cs="黑体"/>
          <w:bCs/>
          <w:sz w:val="32"/>
          <w:szCs w:val="32"/>
        </w:rPr>
      </w:pPr>
      <w:r>
        <w:rPr>
          <w:rFonts w:hint="eastAsia" w:ascii="黑体" w:hAnsi="黑体" w:eastAsia="黑体" w:cs="黑体"/>
          <w:bCs/>
          <w:sz w:val="32"/>
          <w:szCs w:val="32"/>
        </w:rPr>
        <w:t>（一）基本支出情况</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2020年度一般公共预算财政拨款基本支出522.05万元(其中人员经费支出194.59万元，公用经费支出33.30万元），年初预算数263.89万元，较年初预算支出数增加258.16万元，增加支出的原因：一是人员工资调整；二是增加12345政府服务热线中心人员工资、运行管理费和综合服务窗口运行管理费。具体情况如下（金额单位：万元）：</w:t>
      </w:r>
    </w:p>
    <w:p>
      <w:pPr>
        <w:spacing w:line="500" w:lineRule="exact"/>
        <w:ind w:firstLine="280" w:firstLineChars="100"/>
        <w:rPr>
          <w:rFonts w:eastAsia="仿宋"/>
          <w:sz w:val="28"/>
          <w:szCs w:val="28"/>
        </w:rPr>
      </w:pPr>
    </w:p>
    <w:tbl>
      <w:tblPr>
        <w:tblStyle w:val="8"/>
        <w:tblW w:w="8960" w:type="dxa"/>
        <w:tblInd w:w="0" w:type="dxa"/>
        <w:tblLayout w:type="fixed"/>
        <w:tblCellMar>
          <w:top w:w="0" w:type="dxa"/>
          <w:left w:w="0" w:type="dxa"/>
          <w:bottom w:w="0" w:type="dxa"/>
          <w:right w:w="0" w:type="dxa"/>
        </w:tblCellMar>
      </w:tblPr>
      <w:tblGrid>
        <w:gridCol w:w="2451"/>
        <w:gridCol w:w="1918"/>
        <w:gridCol w:w="1745"/>
        <w:gridCol w:w="2846"/>
      </w:tblGrid>
      <w:tr>
        <w:tblPrEx>
          <w:tblCellMar>
            <w:top w:w="0" w:type="dxa"/>
            <w:left w:w="0" w:type="dxa"/>
            <w:bottom w:w="0" w:type="dxa"/>
            <w:right w:w="0" w:type="dxa"/>
          </w:tblCellMar>
        </w:tblPrEx>
        <w:trPr>
          <w:trHeight w:val="52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项目(按支出性质和经济分类)</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年初预算数</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28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决算比预算增加（减少为</w:t>
            </w:r>
            <w:r>
              <w:rPr>
                <w:rFonts w:eastAsia="仿宋_GB2312"/>
                <w:color w:val="000000"/>
                <w:kern w:val="0"/>
                <w:sz w:val="20"/>
                <w:szCs w:val="20"/>
              </w:rPr>
              <w:t>“-”</w:t>
            </w:r>
            <w:r>
              <w:rPr>
                <w:rFonts w:hint="eastAsia" w:ascii="宋体" w:hAnsi="宋体" w:cs="宋体"/>
                <w:color w:val="000000"/>
                <w:kern w:val="0"/>
                <w:sz w:val="20"/>
                <w:szCs w:val="20"/>
              </w:rPr>
              <w:t>）</w:t>
            </w:r>
          </w:p>
        </w:tc>
      </w:tr>
      <w:tr>
        <w:tblPrEx>
          <w:tblCellMar>
            <w:top w:w="0" w:type="dxa"/>
            <w:left w:w="0" w:type="dxa"/>
            <w:bottom w:w="0" w:type="dxa"/>
            <w:right w:w="0" w:type="dxa"/>
          </w:tblCellMar>
        </w:tblPrEx>
        <w:trPr>
          <w:trHeight w:val="269"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111.69</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color w:val="000000"/>
                <w:sz w:val="20"/>
                <w:szCs w:val="20"/>
              </w:rPr>
              <w:t>198.67</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86.98</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工资福利支出</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111.69</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color w:val="000000"/>
                <w:sz w:val="20"/>
                <w:szCs w:val="20"/>
              </w:rPr>
              <w:t>198.67</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86.98</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对个人和家庭的补助</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 w:val="20"/>
                <w:szCs w:val="20"/>
              </w:rPr>
            </w:pPr>
            <w:r>
              <w:rPr>
                <w:rFonts w:hint="eastAsia"/>
                <w:color w:val="000000"/>
                <w:sz w:val="20"/>
                <w:szCs w:val="20"/>
              </w:rPr>
              <w:t>0</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 w:val="20"/>
                <w:szCs w:val="20"/>
              </w:rPr>
            </w:pPr>
            <w:r>
              <w:rPr>
                <w:rFonts w:hint="eastAsia"/>
                <w:color w:val="000000"/>
                <w:sz w:val="20"/>
                <w:szCs w:val="20"/>
              </w:rPr>
              <w:t>0</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日常公用经费</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31.6</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color w:val="000000"/>
                <w:sz w:val="20"/>
                <w:szCs w:val="20"/>
              </w:rPr>
              <w:t>46.08</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14.48</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商品和服务支出</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31.6</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color w:val="000000"/>
                <w:sz w:val="20"/>
                <w:szCs w:val="20"/>
              </w:rPr>
              <w:t>46.08</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14.48</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资本性支出</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 w:val="20"/>
                <w:szCs w:val="20"/>
              </w:rPr>
            </w:pP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 w:val="20"/>
                <w:szCs w:val="20"/>
              </w:rPr>
            </w:pP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总支出</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143.29</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rPr>
            </w:pPr>
            <w:r>
              <w:rPr>
                <w:rFonts w:hint="eastAsia"/>
                <w:color w:val="000000"/>
                <w:sz w:val="20"/>
                <w:szCs w:val="20"/>
              </w:rPr>
              <w:t>244.75</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color w:val="000000"/>
                <w:sz w:val="20"/>
                <w:szCs w:val="20"/>
                <w:highlight w:val="yellow"/>
              </w:rPr>
            </w:pPr>
            <w:r>
              <w:rPr>
                <w:rFonts w:hint="eastAsia"/>
                <w:color w:val="000000"/>
                <w:sz w:val="20"/>
                <w:szCs w:val="20"/>
              </w:rPr>
              <w:t>101.46</w:t>
            </w:r>
          </w:p>
        </w:tc>
      </w:tr>
    </w:tbl>
    <w:p>
      <w:pPr>
        <w:spacing w:line="600" w:lineRule="exact"/>
        <w:ind w:firstLine="643"/>
        <w:rPr>
          <w:rFonts w:ascii="黑体" w:hAnsi="黑体" w:eastAsia="黑体" w:cs="黑体"/>
          <w:sz w:val="32"/>
          <w:szCs w:val="32"/>
        </w:rPr>
      </w:pPr>
      <w:r>
        <w:rPr>
          <w:rFonts w:hint="eastAsia" w:ascii="黑体" w:hAnsi="黑体" w:eastAsia="黑体" w:cs="黑体"/>
          <w:bCs/>
          <w:sz w:val="32"/>
          <w:szCs w:val="32"/>
        </w:rPr>
        <w:t>（二）项目支出情况</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本部门2020年度一般公共预算财政拨款项目政务服务工作经费支出年初预算数为120.6万元，一般公共预算调整增加173.57万。实际支出数294.17万元，较年初预算支出数减少74.71万元。</w:t>
      </w:r>
    </w:p>
    <w:p>
      <w:pPr>
        <w:numPr>
          <w:ilvl w:val="0"/>
          <w:numId w:val="3"/>
        </w:numPr>
        <w:spacing w:line="600" w:lineRule="exact"/>
        <w:ind w:firstLine="640"/>
        <w:rPr>
          <w:rFonts w:eastAsia="黑体"/>
          <w:sz w:val="32"/>
          <w:szCs w:val="32"/>
        </w:rPr>
      </w:pPr>
      <w:r>
        <w:rPr>
          <w:rFonts w:eastAsia="黑体"/>
          <w:sz w:val="32"/>
          <w:szCs w:val="32"/>
        </w:rPr>
        <w:t>政府性基金预算支出情况</w:t>
      </w:r>
    </w:p>
    <w:p>
      <w:pPr>
        <w:spacing w:line="600" w:lineRule="exact"/>
        <w:rPr>
          <w:rFonts w:ascii="仿宋" w:hAnsi="仿宋" w:eastAsia="仿宋" w:cs="仿宋"/>
          <w:sz w:val="32"/>
          <w:szCs w:val="32"/>
        </w:rPr>
      </w:pPr>
      <w:r>
        <w:rPr>
          <w:rFonts w:hint="eastAsia" w:eastAsia="黑体"/>
          <w:sz w:val="32"/>
          <w:szCs w:val="32"/>
        </w:rPr>
        <w:t xml:space="preserve">    </w:t>
      </w:r>
      <w:r>
        <w:rPr>
          <w:rFonts w:hint="eastAsia" w:ascii="仿宋" w:hAnsi="仿宋" w:eastAsia="仿宋" w:cs="仿宋"/>
          <w:sz w:val="32"/>
          <w:szCs w:val="32"/>
        </w:rPr>
        <w:t>2020年政府性基金预算支出：无</w:t>
      </w:r>
    </w:p>
    <w:p>
      <w:pPr>
        <w:numPr>
          <w:ilvl w:val="0"/>
          <w:numId w:val="3"/>
        </w:numPr>
        <w:spacing w:line="600" w:lineRule="exact"/>
        <w:ind w:firstLine="640"/>
        <w:rPr>
          <w:rFonts w:eastAsia="黑体"/>
          <w:sz w:val="32"/>
          <w:szCs w:val="32"/>
        </w:rPr>
      </w:pPr>
      <w:r>
        <w:rPr>
          <w:rFonts w:eastAsia="黑体"/>
          <w:sz w:val="32"/>
          <w:szCs w:val="32"/>
        </w:rPr>
        <w:t>国有资本经营预算支出情况</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2020年国有资本经营预算支出：无</w:t>
      </w:r>
    </w:p>
    <w:p>
      <w:pPr>
        <w:numPr>
          <w:ilvl w:val="0"/>
          <w:numId w:val="3"/>
        </w:numPr>
        <w:spacing w:line="600" w:lineRule="exact"/>
        <w:ind w:firstLine="640"/>
        <w:rPr>
          <w:rFonts w:eastAsia="黑体"/>
          <w:sz w:val="32"/>
          <w:szCs w:val="32"/>
        </w:rPr>
      </w:pPr>
      <w:r>
        <w:rPr>
          <w:rFonts w:eastAsia="黑体"/>
          <w:sz w:val="32"/>
          <w:szCs w:val="32"/>
        </w:rPr>
        <w:t>社会保险基金预算支出情况</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2020年社会保险基金预算支出：无</w:t>
      </w:r>
    </w:p>
    <w:p>
      <w:pPr>
        <w:spacing w:line="600" w:lineRule="exact"/>
        <w:ind w:firstLine="640" w:firstLineChars="200"/>
        <w:rPr>
          <w:rFonts w:eastAsia="黑体"/>
          <w:sz w:val="32"/>
          <w:szCs w:val="32"/>
        </w:rPr>
      </w:pPr>
      <w:r>
        <w:rPr>
          <w:rFonts w:eastAsia="黑体"/>
          <w:sz w:val="32"/>
          <w:szCs w:val="32"/>
        </w:rPr>
        <w:t>六、部门整体支出绩效情况</w:t>
      </w:r>
    </w:p>
    <w:p>
      <w:pPr>
        <w:pStyle w:val="7"/>
        <w:widowControl/>
        <w:wordWrap w:val="0"/>
        <w:spacing w:before="0" w:beforeAutospacing="0" w:after="0" w:afterAutospacing="0"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2020</w:t>
      </w:r>
      <w:r>
        <w:rPr>
          <w:rFonts w:ascii="仿宋" w:hAnsi="仿宋" w:eastAsia="仿宋" w:cs="仿宋"/>
          <w:kern w:val="2"/>
          <w:sz w:val="32"/>
          <w:szCs w:val="32"/>
        </w:rPr>
        <w:t>年整体支出</w:t>
      </w:r>
      <w:r>
        <w:rPr>
          <w:rFonts w:hint="eastAsia" w:ascii="仿宋" w:hAnsi="仿宋" w:eastAsia="仿宋" w:cs="仿宋"/>
          <w:kern w:val="2"/>
          <w:sz w:val="32"/>
          <w:szCs w:val="32"/>
        </w:rPr>
        <w:t>538.91</w:t>
      </w:r>
      <w:r>
        <w:rPr>
          <w:rFonts w:ascii="仿宋" w:hAnsi="仿宋" w:eastAsia="仿宋" w:cs="仿宋"/>
          <w:kern w:val="2"/>
          <w:sz w:val="32"/>
          <w:szCs w:val="32"/>
        </w:rPr>
        <w:t>万元（其中，基本支出</w:t>
      </w:r>
      <w:r>
        <w:rPr>
          <w:rFonts w:hint="eastAsia" w:ascii="仿宋" w:hAnsi="仿宋" w:eastAsia="仿宋" w:cs="仿宋"/>
          <w:kern w:val="2"/>
          <w:sz w:val="32"/>
          <w:szCs w:val="32"/>
        </w:rPr>
        <w:t>244.75</w:t>
      </w:r>
      <w:r>
        <w:rPr>
          <w:rFonts w:ascii="仿宋" w:hAnsi="仿宋" w:eastAsia="仿宋" w:cs="仿宋"/>
          <w:kern w:val="2"/>
          <w:sz w:val="32"/>
          <w:szCs w:val="32"/>
        </w:rPr>
        <w:t>万元，项目支出</w:t>
      </w:r>
      <w:r>
        <w:rPr>
          <w:rFonts w:hint="eastAsia" w:ascii="仿宋" w:hAnsi="仿宋" w:eastAsia="仿宋" w:cs="仿宋"/>
          <w:kern w:val="2"/>
          <w:sz w:val="32"/>
          <w:szCs w:val="32"/>
        </w:rPr>
        <w:t>294.17</w:t>
      </w:r>
      <w:r>
        <w:rPr>
          <w:rFonts w:ascii="仿宋" w:hAnsi="仿宋" w:eastAsia="仿宋" w:cs="仿宋"/>
          <w:kern w:val="2"/>
          <w:sz w:val="32"/>
          <w:szCs w:val="32"/>
        </w:rPr>
        <w:t>万元）。</w:t>
      </w:r>
      <w:r>
        <w:rPr>
          <w:rFonts w:hint="eastAsia" w:ascii="仿宋" w:hAnsi="仿宋" w:eastAsia="仿宋" w:cs="仿宋"/>
          <w:kern w:val="2"/>
          <w:sz w:val="32"/>
          <w:szCs w:val="32"/>
        </w:rPr>
        <w:t>2020</w:t>
      </w:r>
      <w:r>
        <w:rPr>
          <w:rFonts w:ascii="仿宋" w:hAnsi="仿宋" w:eastAsia="仿宋" w:cs="仿宋"/>
          <w:kern w:val="2"/>
          <w:sz w:val="32"/>
          <w:szCs w:val="32"/>
        </w:rPr>
        <w:t>年基本支出保障了单位人员工资福利支出、对个和家庭的补助、机关正常运转和完成日常工作任务的需要</w:t>
      </w:r>
      <w:r>
        <w:rPr>
          <w:rFonts w:hint="eastAsia" w:ascii="仿宋" w:hAnsi="仿宋" w:eastAsia="仿宋" w:cs="仿宋"/>
          <w:kern w:val="2"/>
          <w:sz w:val="32"/>
          <w:szCs w:val="32"/>
        </w:rPr>
        <w:t>。2020年</w:t>
      </w:r>
      <w:r>
        <w:rPr>
          <w:rFonts w:ascii="仿宋" w:hAnsi="仿宋" w:eastAsia="仿宋" w:cs="仿宋"/>
          <w:kern w:val="2"/>
          <w:sz w:val="32"/>
          <w:szCs w:val="32"/>
        </w:rPr>
        <w:t>项目支出完成了</w:t>
      </w:r>
      <w:r>
        <w:rPr>
          <w:rFonts w:hint="eastAsia" w:ascii="仿宋" w:hAnsi="仿宋" w:eastAsia="仿宋" w:cs="仿宋"/>
          <w:sz w:val="32"/>
          <w:szCs w:val="32"/>
        </w:rPr>
        <w:t>政务服务工作经费的</w:t>
      </w:r>
      <w:r>
        <w:rPr>
          <w:rFonts w:ascii="仿宋" w:hAnsi="仿宋" w:eastAsia="仿宋" w:cs="仿宋"/>
          <w:kern w:val="2"/>
          <w:sz w:val="32"/>
          <w:szCs w:val="32"/>
        </w:rPr>
        <w:t>需要</w:t>
      </w:r>
      <w:r>
        <w:rPr>
          <w:rFonts w:hint="eastAsia" w:ascii="仿宋" w:hAnsi="仿宋" w:eastAsia="仿宋" w:cs="仿宋"/>
          <w:kern w:val="2"/>
          <w:sz w:val="32"/>
          <w:szCs w:val="32"/>
        </w:rPr>
        <w:t>,2020</w:t>
      </w:r>
      <w:r>
        <w:rPr>
          <w:rFonts w:ascii="仿宋" w:hAnsi="仿宋" w:eastAsia="仿宋" w:cs="仿宋"/>
          <w:kern w:val="2"/>
          <w:sz w:val="32"/>
          <w:szCs w:val="32"/>
        </w:rPr>
        <w:t>年</w:t>
      </w:r>
      <w:r>
        <w:rPr>
          <w:rFonts w:hint="eastAsia" w:ascii="仿宋" w:hAnsi="仿宋" w:eastAsia="仿宋" w:cs="仿宋"/>
          <w:kern w:val="2"/>
          <w:sz w:val="32"/>
          <w:szCs w:val="32"/>
        </w:rPr>
        <w:t>高质量</w:t>
      </w:r>
      <w:r>
        <w:rPr>
          <w:rFonts w:ascii="仿宋" w:hAnsi="仿宋" w:eastAsia="仿宋" w:cs="仿宋"/>
          <w:kern w:val="2"/>
          <w:sz w:val="32"/>
          <w:szCs w:val="32"/>
        </w:rPr>
        <w:t>实现了本单位整体支出绩效目标。</w:t>
      </w:r>
    </w:p>
    <w:p>
      <w:pPr>
        <w:widowControl/>
        <w:wordWrap w:val="0"/>
        <w:spacing w:line="560" w:lineRule="atLeast"/>
        <w:ind w:firstLine="643"/>
        <w:jc w:val="left"/>
        <w:rPr>
          <w:rFonts w:ascii="黑体" w:hAnsi="黑体" w:eastAsia="黑体" w:cs="黑体"/>
          <w:sz w:val="32"/>
          <w:szCs w:val="32"/>
        </w:rPr>
      </w:pPr>
      <w:r>
        <w:rPr>
          <w:rFonts w:hint="eastAsia" w:ascii="黑体" w:hAnsi="黑体" w:eastAsia="黑体" w:cs="黑体"/>
          <w:bCs/>
          <w:color w:val="333333"/>
          <w:kern w:val="0"/>
          <w:sz w:val="32"/>
          <w:szCs w:val="32"/>
        </w:rPr>
        <w:t>（一）重点工作完成质量及进度：</w:t>
      </w:r>
    </w:p>
    <w:p>
      <w:pPr>
        <w:autoSpaceDE w:val="0"/>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1、深化行政审批制度改革，率先实现“四级四同”。</w:t>
      </w:r>
      <w:r>
        <w:rPr>
          <w:rFonts w:hint="eastAsia" w:ascii="仿宋" w:hAnsi="仿宋" w:eastAsia="仿宋" w:cs="仿宋"/>
          <w:color w:val="000000"/>
          <w:sz w:val="32"/>
          <w:szCs w:val="32"/>
        </w:rPr>
        <w:t>全面完成了机构改革后政务服务事项梳理，形成并发布了统一的州、县市、乡（街道）、村（社区）“同事项名称、事项编码、事项类型、设定依据”政务服务目录清单，做到了事项统一、流程统一、证明材料统一、办事指南统一，率先实现了“四级四同”工作目标，同时建立了政务服务事项动态调整反馈机制。这是我州深化行政审批制度改革重大成果，也为政务服务跨层级、跨区域和一门、一网办理提供了保障。</w:t>
      </w:r>
    </w:p>
    <w:p>
      <w:pPr>
        <w:autoSpaceDE w:val="0"/>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2、制定颁布《湘西州自治州政务服务导则》并组织实施。</w:t>
      </w:r>
      <w:r>
        <w:rPr>
          <w:rFonts w:hint="eastAsia" w:ascii="仿宋" w:hAnsi="仿宋" w:eastAsia="仿宋" w:cs="仿宋"/>
          <w:color w:val="000000"/>
          <w:sz w:val="32"/>
          <w:szCs w:val="32"/>
        </w:rPr>
        <w:t>深入贯彻省委省政府关于开展全面小康决胜年行动的决策部署，落实州委州政府持续深化“放管服”改革要求，我局主导起草的《湘西州自治州政务服务导则》经州政府常务会议审议，于2020年1月1日正式实施。作为全省首个政务服务导则，对进一步规范我州州、县市、乡镇（街道）、村（社区）四级政务服务行为、提高政务服务效率，优化我州营商环境，推进政府治理体系和治理能力现代化，建设人民满意的服务型政府提供了准则和有力支撑。湖南省政府门户网、新湖南、湘西融媒、湘西州政府门户网、学习强国等媒体平台以《重磅消息！全省首个政务服务导则出台》为题进行了深度报道。</w:t>
      </w:r>
    </w:p>
    <w:p>
      <w:pPr>
        <w:autoSpaceDE w:val="0"/>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3、多措并举助力全州企业复工复产。</w:t>
      </w:r>
      <w:r>
        <w:rPr>
          <w:rFonts w:hint="eastAsia" w:ascii="仿宋" w:hAnsi="仿宋" w:eastAsia="仿宋" w:cs="仿宋"/>
          <w:color w:val="000000"/>
          <w:sz w:val="32"/>
          <w:szCs w:val="32"/>
        </w:rPr>
        <w:t>贯彻落实州委、州人民政府关于加强防疫、促进企业复工复产工作部署。一方面全方位开展优惠政策宣传。在《团结报》对我州优惠政策和人才政策进行了连载解答，在省政府网站、州政府网站、新湖南、《团结报》、红网时刻新闻、《中国经济导报》等媒体宣传湘西州优惠政策兑现工作。制作了政策宣传二维码在各级微信工作交流群中推介，全面提高政策知晓度。印制了22项优惠政策和人才政策兑现指南、1万余份“六稳”“六保”复工复产宣传册深入企业发放。另一方面拓展多元化办事服务格局，开启特事特办绿色通道，开展帮办代办等多项举措，以实际行动助力企业复工复产。湘西融媒以《州行政审批服务局:“一件事一次办” 兑现优惠政策不打折》、《湘西多渠道推行“帮代办”服务 全力保障企业复工复产需求》、《湖南省27件复工复产政策兑现“一件事一次办”在湘西州得到全面落实》为题进行了报道。州委全面深化改革委员会改革简报第4期以《审批服务流程简，复工复产举措新--我州行政审批服务部门推行多元化办事，为复工复产提供优质高效服务》为题在全州推介。</w:t>
      </w:r>
    </w:p>
    <w:p>
      <w:pPr>
        <w:autoSpaceDE w:val="0"/>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4、落实州委会议精神，推进基层公共服务（一门式）全覆盖成效显著。</w:t>
      </w:r>
      <w:r>
        <w:rPr>
          <w:rFonts w:hint="eastAsia" w:ascii="仿宋" w:hAnsi="仿宋" w:eastAsia="仿宋" w:cs="仿宋"/>
          <w:color w:val="000000"/>
          <w:sz w:val="32"/>
          <w:szCs w:val="32"/>
        </w:rPr>
        <w:t>今年4月州委召开全州党建引领基层治理暨党建工作重点任务推进会，我局就如何落实重点任务，加快推动基层公共服务（一门式）全覆盖工作作了表态发言。并以此次会议为新的起点，强化责任分解，如期、高效完成各项工作任务。在湖南省率先完成“一门式”办理、“一站式”服务全覆盖，群众获得感满意度显著提升。湖南省政府门户网、湘西融媒以《政务服务到基层，群众办事不出村——湘西自治州率先完成“一门式”办理》为题进行了报道。</w:t>
      </w:r>
    </w:p>
    <w:p>
      <w:pPr>
        <w:autoSpaceDE w:val="0"/>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5、助推“一件事一次办”改革，打造湘西政务服务精品。</w:t>
      </w:r>
      <w:r>
        <w:rPr>
          <w:rFonts w:hint="eastAsia" w:ascii="仿宋" w:hAnsi="仿宋" w:eastAsia="仿宋" w:cs="仿宋"/>
          <w:color w:val="000000"/>
          <w:sz w:val="32"/>
          <w:szCs w:val="32"/>
        </w:rPr>
        <w:t>为落实州委州政府“放管服”改革优化营商环境重要工作部署，我局把“一件事一次办”改革作为简政放权、放管结合、优化服务改革推向纵深的关键环节，以“一件事一次办”跨域办理、异地可办、全省通办和省复工复产、“六稳”“六保”政策兑现“一件事一次办”为工作重点，在全省实现了“五个率先”的工作目标。解决了基础群众办事“两头跑”的问题，实现了只进一道门，一次性办好所有事。湖南省政府门户网、湘西融媒、湘西州政府门户网以《湘西州以全省首个《政务服务导则》为统领，助推“一件事一次办”改革》、《湘西州落实“一件事一次办”出新招见真效》为题进行报道；中央电视台《纪录东方》栏目组制作了《“一件事一次办”办进百姓心坎上》专题片，近期拟在央视相关栏目播出，宣传湘西州“放管服”改革成效。</w:t>
      </w:r>
    </w:p>
    <w:p>
      <w:pPr>
        <w:spacing w:line="480" w:lineRule="exact"/>
        <w:ind w:firstLine="640"/>
        <w:rPr>
          <w:rFonts w:ascii="仿宋" w:hAnsi="仿宋" w:eastAsia="仿宋" w:cs="仿宋"/>
          <w:bCs/>
          <w:color w:val="000000"/>
          <w:sz w:val="32"/>
          <w:szCs w:val="32"/>
        </w:rPr>
      </w:pPr>
      <w:r>
        <w:rPr>
          <w:rFonts w:hint="eastAsia" w:ascii="仿宋" w:hAnsi="仿宋" w:eastAsia="仿宋" w:cs="仿宋"/>
          <w:b/>
          <w:color w:val="000000"/>
          <w:sz w:val="32"/>
          <w:szCs w:val="32"/>
        </w:rPr>
        <w:t>6、统筹推进12345政府服务热线规范运行。</w:t>
      </w:r>
      <w:r>
        <w:rPr>
          <w:rFonts w:hint="eastAsia" w:ascii="仿宋" w:hAnsi="仿宋" w:eastAsia="仿宋" w:cs="仿宋"/>
          <w:color w:val="000000"/>
          <w:sz w:val="32"/>
          <w:szCs w:val="32"/>
        </w:rPr>
        <w:t>制定了热线服务流程标准、考核办法、管理办法和知识库更新等制度，强化政务热线标准化建设，优化完善咨询、求助、建议、投诉、举报等五类分类分级处置机制；强化监督考核管理，提升督办考评质效，确保公众诉求“件件有着落、事事有回应”。我州12345政府服务热线一年来共受理群众来电30427件，每一个群众来电咨询、每一个诉求均做到认真解答、精心办理，诉求处置结果满意率达95.94%。真正发挥出12345政府服务热线的“连心桥”和“前哨战”的作用，特别是疫情发生以来发挥了不可替代的作用。</w:t>
      </w:r>
    </w:p>
    <w:p>
      <w:pPr>
        <w:pStyle w:val="2"/>
        <w:spacing w:line="480" w:lineRule="exact"/>
        <w:ind w:left="0" w:leftChars="0"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7、完成州政府交办的各项工作任务。</w:t>
      </w:r>
      <w:r>
        <w:rPr>
          <w:rFonts w:hint="eastAsia" w:ascii="仿宋" w:hAnsi="仿宋" w:eastAsia="仿宋" w:cs="仿宋"/>
          <w:color w:val="000000"/>
          <w:sz w:val="32"/>
          <w:szCs w:val="32"/>
        </w:rPr>
        <w:t>先后适时完成了州政府目标管理考核全州“放管服”改革工作和州定20件民生实事工作季度数据采集上报；完成全州《全省深化“放管服”改革优化营商环境重点任务进展情况》资料采集和季度上报；做好国务院大督查、全国网上政务服务能力第三方评估等相关工作；做好全省、全州优化营商环境第三方评估和州深化“放管服”改革优化营商环境现场测评等工作；牵头完成省开展“马上办网上办就近办、一件事一次办”改革实施效果评估自评工作并综合上报州政府。</w:t>
      </w:r>
    </w:p>
    <w:p>
      <w:pPr>
        <w:widowControl/>
        <w:wordWrap w:val="0"/>
        <w:spacing w:line="360" w:lineRule="auto"/>
        <w:jc w:val="left"/>
        <w:rPr>
          <w:rFonts w:ascii="仿宋" w:hAnsi="仿宋" w:eastAsia="仿宋" w:cs="仿宋"/>
          <w:color w:val="000000"/>
          <w:sz w:val="32"/>
          <w:szCs w:val="32"/>
        </w:rPr>
      </w:pPr>
    </w:p>
    <w:p>
      <w:pPr>
        <w:widowControl/>
        <w:wordWrap w:val="0"/>
        <w:spacing w:line="560" w:lineRule="atLeast"/>
        <w:jc w:val="left"/>
        <w:rPr>
          <w:rFonts w:ascii="黑体" w:hAnsi="黑体" w:eastAsia="黑体" w:cs="黑体"/>
          <w:sz w:val="32"/>
          <w:szCs w:val="32"/>
        </w:rPr>
      </w:pPr>
      <w:r>
        <w:rPr>
          <w:rFonts w:hint="eastAsia" w:ascii="黑体" w:hAnsi="黑体" w:eastAsia="黑体" w:cs="黑体"/>
          <w:b/>
          <w:bCs/>
          <w:color w:val="333333"/>
          <w:kern w:val="0"/>
          <w:sz w:val="32"/>
          <w:szCs w:val="32"/>
        </w:rPr>
        <w:br w:type="page"/>
      </w:r>
      <w:r>
        <w:rPr>
          <w:rFonts w:hint="eastAsia" w:ascii="黑体" w:hAnsi="黑体" w:eastAsia="黑体" w:cs="黑体"/>
          <w:b/>
          <w:bCs/>
          <w:color w:val="333333"/>
          <w:kern w:val="0"/>
          <w:sz w:val="32"/>
          <w:szCs w:val="32"/>
        </w:rPr>
        <w:t>（二）整体支出成本预算控制、节约情况</w:t>
      </w:r>
    </w:p>
    <w:tbl>
      <w:tblPr>
        <w:tblStyle w:val="8"/>
        <w:tblW w:w="8800" w:type="dxa"/>
        <w:tblInd w:w="0" w:type="dxa"/>
        <w:tblLayout w:type="autofit"/>
        <w:tblCellMar>
          <w:top w:w="0" w:type="dxa"/>
          <w:left w:w="0" w:type="dxa"/>
          <w:bottom w:w="0" w:type="dxa"/>
          <w:right w:w="0" w:type="dxa"/>
        </w:tblCellMar>
      </w:tblPr>
      <w:tblGrid>
        <w:gridCol w:w="2411"/>
        <w:gridCol w:w="1487"/>
        <w:gridCol w:w="1489"/>
        <w:gridCol w:w="1487"/>
        <w:gridCol w:w="1926"/>
      </w:tblGrid>
      <w:tr>
        <w:tblPrEx>
          <w:tblCellMar>
            <w:top w:w="0" w:type="dxa"/>
            <w:left w:w="0" w:type="dxa"/>
            <w:bottom w:w="0" w:type="dxa"/>
            <w:right w:w="0" w:type="dxa"/>
          </w:tblCellMar>
        </w:tblPrEx>
        <w:trPr>
          <w:trHeight w:val="561" w:hRule="atLeast"/>
        </w:trPr>
        <w:tc>
          <w:tcPr>
            <w:tcW w:w="8800" w:type="dxa"/>
            <w:gridSpan w:val="5"/>
            <w:tcBorders>
              <w:top w:val="nil"/>
              <w:left w:val="nil"/>
              <w:bottom w:val="nil"/>
              <w:right w:val="nil"/>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30"/>
                <w:szCs w:val="30"/>
              </w:rPr>
            </w:pPr>
            <w:r>
              <w:rPr>
                <w:rFonts w:hint="eastAsia" w:ascii="黑体" w:hAnsi="黑体" w:eastAsia="黑体" w:cs="黑体"/>
                <w:color w:val="333333"/>
                <w:sz w:val="32"/>
                <w:szCs w:val="32"/>
              </w:rPr>
              <w:t>1、湘西州行政审批服务局2020年预算支出成本控制情况</w:t>
            </w:r>
          </w:p>
        </w:tc>
      </w:tr>
      <w:tr>
        <w:tblPrEx>
          <w:tblCellMar>
            <w:top w:w="0" w:type="dxa"/>
            <w:left w:w="0" w:type="dxa"/>
            <w:bottom w:w="0" w:type="dxa"/>
            <w:right w:w="0" w:type="dxa"/>
          </w:tblCellMar>
        </w:tblPrEx>
        <w:trPr>
          <w:trHeight w:val="561" w:hRule="atLeast"/>
        </w:trPr>
        <w:tc>
          <w:tcPr>
            <w:tcW w:w="2411" w:type="dxa"/>
            <w:tcBorders>
              <w:top w:val="nil"/>
              <w:left w:val="nil"/>
              <w:bottom w:val="single" w:color="auto" w:sz="8" w:space="0"/>
              <w:right w:val="nil"/>
            </w:tcBorders>
            <w:tcMar>
              <w:left w:w="108" w:type="dxa"/>
              <w:right w:w="108" w:type="dxa"/>
            </w:tcMar>
            <w:vAlign w:val="bottom"/>
          </w:tcPr>
          <w:p>
            <w:pPr>
              <w:widowControl/>
              <w:wordWrap w:val="0"/>
              <w:spacing w:line="560" w:lineRule="atLeast"/>
              <w:ind w:firstLine="420"/>
              <w:jc w:val="left"/>
              <w:rPr>
                <w:sz w:val="16"/>
                <w:szCs w:val="16"/>
              </w:rPr>
            </w:pPr>
            <w:r>
              <w:rPr>
                <w:rFonts w:ascii="Calibri" w:hAnsi="Calibri"/>
                <w:kern w:val="0"/>
                <w:sz w:val="24"/>
              </w:rPr>
              <w:t> </w:t>
            </w:r>
          </w:p>
        </w:tc>
        <w:tc>
          <w:tcPr>
            <w:tcW w:w="1487" w:type="dxa"/>
            <w:tcBorders>
              <w:top w:val="nil"/>
              <w:left w:val="nil"/>
              <w:bottom w:val="single" w:color="auto" w:sz="8" w:space="0"/>
              <w:right w:val="nil"/>
            </w:tcBorders>
            <w:tcMar>
              <w:left w:w="108" w:type="dxa"/>
              <w:right w:w="108" w:type="dxa"/>
            </w:tcMar>
            <w:vAlign w:val="bottom"/>
          </w:tcPr>
          <w:p>
            <w:pPr>
              <w:widowControl/>
              <w:wordWrap w:val="0"/>
              <w:spacing w:line="560" w:lineRule="atLeast"/>
              <w:ind w:firstLine="420"/>
              <w:jc w:val="left"/>
              <w:rPr>
                <w:sz w:val="16"/>
                <w:szCs w:val="16"/>
              </w:rPr>
            </w:pPr>
            <w:r>
              <w:rPr>
                <w:rFonts w:ascii="Calibri" w:hAnsi="Calibri"/>
                <w:kern w:val="0"/>
                <w:sz w:val="24"/>
              </w:rPr>
              <w:t>　</w:t>
            </w:r>
          </w:p>
        </w:tc>
        <w:tc>
          <w:tcPr>
            <w:tcW w:w="1489" w:type="dxa"/>
            <w:tcBorders>
              <w:top w:val="nil"/>
              <w:left w:val="nil"/>
              <w:bottom w:val="single" w:color="auto" w:sz="8" w:space="0"/>
              <w:right w:val="nil"/>
            </w:tcBorders>
            <w:tcMar>
              <w:left w:w="108" w:type="dxa"/>
              <w:right w:w="108" w:type="dxa"/>
            </w:tcMar>
            <w:vAlign w:val="bottom"/>
          </w:tcPr>
          <w:p>
            <w:pPr>
              <w:widowControl/>
              <w:wordWrap w:val="0"/>
              <w:spacing w:line="560" w:lineRule="atLeast"/>
              <w:ind w:firstLine="420"/>
              <w:jc w:val="left"/>
              <w:rPr>
                <w:sz w:val="16"/>
                <w:szCs w:val="16"/>
              </w:rPr>
            </w:pPr>
            <w:r>
              <w:rPr>
                <w:rFonts w:ascii="Calibri" w:hAnsi="Calibri"/>
                <w:kern w:val="0"/>
                <w:sz w:val="24"/>
              </w:rPr>
              <w:t>　</w:t>
            </w:r>
          </w:p>
        </w:tc>
        <w:tc>
          <w:tcPr>
            <w:tcW w:w="3413" w:type="dxa"/>
            <w:gridSpan w:val="2"/>
            <w:tcBorders>
              <w:top w:val="nil"/>
              <w:left w:val="nil"/>
              <w:bottom w:val="single" w:color="auto" w:sz="8" w:space="0"/>
              <w:right w:val="nil"/>
            </w:tcBorders>
            <w:tcMar>
              <w:left w:w="108" w:type="dxa"/>
              <w:right w:w="108" w:type="dxa"/>
            </w:tcMar>
            <w:vAlign w:val="center"/>
          </w:tcPr>
          <w:p>
            <w:pPr>
              <w:widowControl/>
              <w:wordWrap w:val="0"/>
              <w:spacing w:line="560" w:lineRule="atLeast"/>
              <w:ind w:firstLine="420"/>
              <w:jc w:val="left"/>
              <w:rPr>
                <w:sz w:val="16"/>
                <w:szCs w:val="16"/>
              </w:rPr>
            </w:pPr>
            <w:r>
              <w:rPr>
                <w:rFonts w:ascii="Calibri" w:hAnsi="Calibri"/>
                <w:kern w:val="0"/>
                <w:sz w:val="24"/>
              </w:rPr>
              <w:t>单位：万元</w:t>
            </w:r>
          </w:p>
        </w:tc>
      </w:tr>
      <w:tr>
        <w:tblPrEx>
          <w:tblCellMar>
            <w:top w:w="0" w:type="dxa"/>
            <w:left w:w="0" w:type="dxa"/>
            <w:bottom w:w="0" w:type="dxa"/>
            <w:right w:w="0" w:type="dxa"/>
          </w:tblCellMar>
        </w:tblPrEx>
        <w:trPr>
          <w:trHeight w:val="1143" w:hRule="atLeast"/>
        </w:trPr>
        <w:tc>
          <w:tcPr>
            <w:tcW w:w="2411" w:type="dxa"/>
            <w:tcBorders>
              <w:top w:val="nil"/>
              <w:left w:val="single" w:color="auto" w:sz="8" w:space="0"/>
              <w:bottom w:val="nil"/>
              <w:right w:val="single" w:color="auto" w:sz="8" w:space="0"/>
            </w:tcBorders>
            <w:tcMar>
              <w:left w:w="108" w:type="dxa"/>
              <w:right w:w="108" w:type="dxa"/>
            </w:tcMar>
            <w:vAlign w:val="center"/>
          </w:tcPr>
          <w:p>
            <w:pPr>
              <w:widowControl/>
              <w:wordWrap w:val="0"/>
              <w:spacing w:line="560" w:lineRule="atLeast"/>
              <w:ind w:firstLine="420"/>
              <w:jc w:val="left"/>
              <w:rPr>
                <w:sz w:val="16"/>
                <w:szCs w:val="16"/>
              </w:rPr>
            </w:pPr>
            <w:r>
              <w:rPr>
                <w:rFonts w:ascii="Calibri" w:hAnsi="Calibri"/>
                <w:b/>
                <w:bCs/>
                <w:kern w:val="0"/>
                <w:sz w:val="24"/>
              </w:rPr>
              <w:t>项目</w:t>
            </w:r>
          </w:p>
        </w:tc>
        <w:tc>
          <w:tcPr>
            <w:tcW w:w="1487" w:type="dxa"/>
            <w:tcBorders>
              <w:top w:val="nil"/>
              <w:left w:val="nil"/>
              <w:bottom w:val="single" w:color="auto" w:sz="8" w:space="0"/>
              <w:right w:val="nil"/>
            </w:tcBorders>
            <w:tcMar>
              <w:left w:w="108" w:type="dxa"/>
              <w:right w:w="108" w:type="dxa"/>
            </w:tcMar>
            <w:vAlign w:val="center"/>
          </w:tcPr>
          <w:p>
            <w:pPr>
              <w:widowControl/>
              <w:wordWrap w:val="0"/>
              <w:spacing w:line="560" w:lineRule="atLeast"/>
              <w:ind w:firstLine="420"/>
              <w:jc w:val="left"/>
              <w:rPr>
                <w:sz w:val="16"/>
                <w:szCs w:val="16"/>
              </w:rPr>
            </w:pPr>
            <w:r>
              <w:rPr>
                <w:rFonts w:ascii="Calibri" w:hAnsi="Calibri"/>
                <w:b/>
                <w:bCs/>
                <w:kern w:val="0"/>
                <w:sz w:val="24"/>
              </w:rPr>
              <w:t>预算数</w:t>
            </w:r>
          </w:p>
        </w:tc>
        <w:tc>
          <w:tcPr>
            <w:tcW w:w="1489" w:type="dxa"/>
            <w:tcBorders>
              <w:top w:val="nil"/>
              <w:left w:val="single" w:color="auto" w:sz="8" w:space="0"/>
              <w:bottom w:val="nil"/>
              <w:right w:val="single" w:color="auto" w:sz="8" w:space="0"/>
            </w:tcBorders>
            <w:tcMar>
              <w:left w:w="108" w:type="dxa"/>
              <w:right w:w="108" w:type="dxa"/>
            </w:tcMar>
            <w:vAlign w:val="center"/>
          </w:tcPr>
          <w:p>
            <w:pPr>
              <w:widowControl/>
              <w:wordWrap w:val="0"/>
              <w:spacing w:line="560" w:lineRule="atLeast"/>
              <w:ind w:firstLine="420"/>
              <w:jc w:val="left"/>
              <w:rPr>
                <w:sz w:val="16"/>
                <w:szCs w:val="16"/>
              </w:rPr>
            </w:pPr>
            <w:r>
              <w:rPr>
                <w:rFonts w:ascii="Calibri" w:hAnsi="Calibri"/>
                <w:b/>
                <w:bCs/>
                <w:kern w:val="0"/>
                <w:sz w:val="24"/>
              </w:rPr>
              <w:t>决算数</w:t>
            </w:r>
          </w:p>
        </w:tc>
        <w:tc>
          <w:tcPr>
            <w:tcW w:w="1487" w:type="dxa"/>
            <w:tcBorders>
              <w:top w:val="nil"/>
              <w:left w:val="nil"/>
              <w:bottom w:val="nil"/>
              <w:right w:val="single" w:color="auto" w:sz="8" w:space="0"/>
            </w:tcBorders>
            <w:tcMar>
              <w:left w:w="108" w:type="dxa"/>
              <w:right w:w="108" w:type="dxa"/>
            </w:tcMar>
            <w:vAlign w:val="center"/>
          </w:tcPr>
          <w:p>
            <w:pPr>
              <w:widowControl/>
              <w:wordWrap w:val="0"/>
              <w:spacing w:line="560" w:lineRule="atLeast"/>
              <w:jc w:val="center"/>
              <w:rPr>
                <w:sz w:val="16"/>
                <w:szCs w:val="16"/>
              </w:rPr>
            </w:pPr>
            <w:r>
              <w:rPr>
                <w:rFonts w:hint="eastAsia"/>
                <w:b/>
                <w:bCs/>
                <w:sz w:val="24"/>
              </w:rPr>
              <w:t>决算比预算增加</w:t>
            </w:r>
          </w:p>
        </w:tc>
        <w:tc>
          <w:tcPr>
            <w:tcW w:w="1926" w:type="dxa"/>
            <w:tcBorders>
              <w:top w:val="nil"/>
              <w:left w:val="nil"/>
              <w:bottom w:val="nil"/>
              <w:right w:val="single" w:color="auto" w:sz="8" w:space="0"/>
            </w:tcBorders>
            <w:tcMar>
              <w:left w:w="108" w:type="dxa"/>
              <w:right w:w="108" w:type="dxa"/>
            </w:tcMar>
            <w:vAlign w:val="center"/>
          </w:tcPr>
          <w:p>
            <w:pPr>
              <w:widowControl/>
              <w:wordWrap w:val="0"/>
              <w:spacing w:line="560" w:lineRule="atLeast"/>
              <w:ind w:firstLine="420"/>
              <w:jc w:val="left"/>
              <w:rPr>
                <w:sz w:val="16"/>
                <w:szCs w:val="16"/>
              </w:rPr>
            </w:pPr>
            <w:r>
              <w:rPr>
                <w:rFonts w:ascii="Calibri" w:hAnsi="Calibri"/>
                <w:b/>
                <w:bCs/>
                <w:kern w:val="0"/>
                <w:sz w:val="24"/>
              </w:rPr>
              <w:t>备注</w:t>
            </w:r>
          </w:p>
        </w:tc>
      </w:tr>
      <w:tr>
        <w:tblPrEx>
          <w:tblCellMar>
            <w:top w:w="0" w:type="dxa"/>
            <w:left w:w="0" w:type="dxa"/>
            <w:bottom w:w="0" w:type="dxa"/>
            <w:right w:w="0" w:type="dxa"/>
          </w:tblCellMar>
        </w:tblPrEx>
        <w:trPr>
          <w:trHeight w:val="581" w:hRule="atLeast"/>
        </w:trPr>
        <w:tc>
          <w:tcPr>
            <w:tcW w:w="241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ind w:firstLine="645"/>
              <w:jc w:val="both"/>
              <w:rPr>
                <w:rFonts w:ascii="仿宋" w:hAnsi="仿宋" w:eastAsia="仿宋" w:cs="仿宋"/>
                <w:sz w:val="21"/>
                <w:szCs w:val="21"/>
              </w:rPr>
            </w:pPr>
            <w:r>
              <w:rPr>
                <w:rFonts w:hint="eastAsia" w:ascii="仿宋" w:hAnsi="仿宋" w:eastAsia="仿宋" w:cs="仿宋"/>
                <w:sz w:val="21"/>
                <w:szCs w:val="21"/>
              </w:rPr>
              <w:t>支出合计</w:t>
            </w: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sz w:val="21"/>
                <w:szCs w:val="21"/>
              </w:rPr>
            </w:pPr>
            <w:r>
              <w:rPr>
                <w:rFonts w:hint="eastAsia" w:ascii="仿宋" w:hAnsi="仿宋" w:eastAsia="仿宋" w:cs="仿宋"/>
                <w:sz w:val="21"/>
                <w:szCs w:val="21"/>
              </w:rPr>
              <w:t>265.21</w:t>
            </w:r>
          </w:p>
        </w:tc>
        <w:tc>
          <w:tcPr>
            <w:tcW w:w="1489" w:type="dxa"/>
            <w:tcBorders>
              <w:top w:val="single" w:color="auto" w:sz="8" w:space="0"/>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538.91</w:t>
            </w:r>
          </w:p>
        </w:tc>
        <w:tc>
          <w:tcPr>
            <w:tcW w:w="1487" w:type="dxa"/>
            <w:tcBorders>
              <w:top w:val="single" w:color="auto" w:sz="8" w:space="0"/>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273.7</w:t>
            </w:r>
          </w:p>
        </w:tc>
        <w:tc>
          <w:tcPr>
            <w:tcW w:w="1926" w:type="dxa"/>
            <w:tcBorders>
              <w:top w:val="single" w:color="auto" w:sz="8" w:space="0"/>
              <w:left w:val="nil"/>
              <w:bottom w:val="single" w:color="auto" w:sz="8" w:space="0"/>
              <w:right w:val="single" w:color="auto" w:sz="8" w:space="0"/>
            </w:tcBorders>
            <w:tcMar>
              <w:left w:w="108" w:type="dxa"/>
              <w:right w:w="108" w:type="dxa"/>
            </w:tcMar>
            <w:vAlign w:val="center"/>
          </w:tcPr>
          <w:p>
            <w:pPr>
              <w:pStyle w:val="7"/>
              <w:widowControl/>
              <w:spacing w:before="0" w:beforeAutospacing="0" w:after="0" w:afterAutospacing="0" w:line="560" w:lineRule="atLeast"/>
              <w:rPr>
                <w:rFonts w:ascii="仿宋" w:hAnsi="仿宋" w:eastAsia="仿宋" w:cs="仿宋"/>
                <w:color w:val="333333"/>
                <w:sz w:val="21"/>
                <w:szCs w:val="21"/>
              </w:rPr>
            </w:pPr>
          </w:p>
        </w:tc>
      </w:tr>
      <w:tr>
        <w:tblPrEx>
          <w:tblCellMar>
            <w:top w:w="0" w:type="dxa"/>
            <w:left w:w="0" w:type="dxa"/>
            <w:bottom w:w="0" w:type="dxa"/>
            <w:right w:w="0" w:type="dxa"/>
          </w:tblCellMar>
        </w:tblPrEx>
        <w:trPr>
          <w:trHeight w:val="524" w:hRule="atLeast"/>
        </w:trPr>
        <w:tc>
          <w:tcPr>
            <w:tcW w:w="2411" w:type="dxa"/>
            <w:tcBorders>
              <w:top w:val="nil"/>
              <w:left w:val="single" w:color="auto" w:sz="8" w:space="0"/>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1、工资福利支出</w:t>
            </w: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112.71</w:t>
            </w:r>
          </w:p>
        </w:tc>
        <w:tc>
          <w:tcPr>
            <w:tcW w:w="1489"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198.67</w:t>
            </w: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85.96</w:t>
            </w:r>
          </w:p>
        </w:tc>
        <w:tc>
          <w:tcPr>
            <w:tcW w:w="1926" w:type="dxa"/>
            <w:tcBorders>
              <w:top w:val="nil"/>
              <w:left w:val="nil"/>
              <w:bottom w:val="single" w:color="auto" w:sz="8" w:space="0"/>
              <w:right w:val="single" w:color="auto" w:sz="8" w:space="0"/>
            </w:tcBorders>
            <w:tcMar>
              <w:left w:w="108" w:type="dxa"/>
              <w:right w:w="108" w:type="dxa"/>
            </w:tcMar>
            <w:vAlign w:val="center"/>
          </w:tcPr>
          <w:p>
            <w:pPr>
              <w:jc w:val="left"/>
              <w:rPr>
                <w:rFonts w:ascii="仿宋" w:hAnsi="仿宋" w:eastAsia="仿宋" w:cs="仿宋"/>
                <w:color w:val="333333"/>
                <w:szCs w:val="21"/>
              </w:rPr>
            </w:pPr>
            <w:r>
              <w:rPr>
                <w:rFonts w:hint="eastAsia" w:ascii="仿宋" w:hAnsi="仿宋" w:eastAsia="仿宋" w:cs="宋体"/>
                <w:szCs w:val="21"/>
              </w:rPr>
              <w:t>人员工资调整</w:t>
            </w:r>
          </w:p>
        </w:tc>
      </w:tr>
      <w:tr>
        <w:tblPrEx>
          <w:tblCellMar>
            <w:top w:w="0" w:type="dxa"/>
            <w:left w:w="0" w:type="dxa"/>
            <w:bottom w:w="0" w:type="dxa"/>
            <w:right w:w="0" w:type="dxa"/>
          </w:tblCellMar>
        </w:tblPrEx>
        <w:trPr>
          <w:trHeight w:val="651" w:hRule="atLeast"/>
        </w:trPr>
        <w:tc>
          <w:tcPr>
            <w:tcW w:w="2411" w:type="dxa"/>
            <w:tcBorders>
              <w:top w:val="nil"/>
              <w:left w:val="single" w:color="auto" w:sz="8" w:space="0"/>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2、商品和服务支出</w:t>
            </w: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31.9</w:t>
            </w:r>
          </w:p>
        </w:tc>
        <w:tc>
          <w:tcPr>
            <w:tcW w:w="1489"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46.08</w:t>
            </w: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14.18</w:t>
            </w:r>
          </w:p>
        </w:tc>
        <w:tc>
          <w:tcPr>
            <w:tcW w:w="1926"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jc w:val="both"/>
              <w:rPr>
                <w:rFonts w:ascii="仿宋" w:hAnsi="仿宋" w:eastAsia="仿宋" w:cs="仿宋"/>
                <w:color w:val="333333"/>
                <w:sz w:val="21"/>
                <w:szCs w:val="21"/>
              </w:rPr>
            </w:pPr>
          </w:p>
        </w:tc>
      </w:tr>
      <w:tr>
        <w:tblPrEx>
          <w:tblCellMar>
            <w:top w:w="0" w:type="dxa"/>
            <w:left w:w="0" w:type="dxa"/>
            <w:bottom w:w="0" w:type="dxa"/>
            <w:right w:w="0" w:type="dxa"/>
          </w:tblCellMar>
        </w:tblPrEx>
        <w:trPr>
          <w:trHeight w:val="726" w:hRule="atLeast"/>
        </w:trPr>
        <w:tc>
          <w:tcPr>
            <w:tcW w:w="2411" w:type="dxa"/>
            <w:tcBorders>
              <w:top w:val="nil"/>
              <w:left w:val="single" w:color="auto" w:sz="8" w:space="0"/>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3、项目支出</w:t>
            </w: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120.6</w:t>
            </w:r>
          </w:p>
        </w:tc>
        <w:tc>
          <w:tcPr>
            <w:tcW w:w="1489"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294.17</w:t>
            </w: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r>
              <w:rPr>
                <w:rFonts w:hint="eastAsia" w:ascii="仿宋" w:hAnsi="仿宋" w:eastAsia="仿宋" w:cs="仿宋"/>
                <w:color w:val="333333"/>
                <w:sz w:val="21"/>
                <w:szCs w:val="21"/>
              </w:rPr>
              <w:t>173.57</w:t>
            </w:r>
          </w:p>
        </w:tc>
        <w:tc>
          <w:tcPr>
            <w:tcW w:w="1926"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jc w:val="both"/>
              <w:rPr>
                <w:rFonts w:ascii="仿宋" w:hAnsi="仿宋" w:eastAsia="仿宋" w:cs="仿宋"/>
                <w:color w:val="333333"/>
                <w:sz w:val="21"/>
                <w:szCs w:val="21"/>
              </w:rPr>
            </w:pPr>
            <w:r>
              <w:rPr>
                <w:rFonts w:hint="eastAsia" w:ascii="仿宋" w:hAnsi="仿宋" w:eastAsia="仿宋" w:cs="宋体"/>
                <w:sz w:val="21"/>
                <w:szCs w:val="21"/>
              </w:rPr>
              <w:t>增加临聘人员工作福利费和12345热线中心运行费等</w:t>
            </w:r>
            <w:r>
              <w:rPr>
                <w:rFonts w:hint="eastAsia" w:ascii="宋体" w:hAnsi="宋体" w:cs="宋体"/>
                <w:color w:val="333333"/>
                <w:sz w:val="21"/>
                <w:szCs w:val="21"/>
              </w:rPr>
              <w:t> </w:t>
            </w:r>
          </w:p>
        </w:tc>
      </w:tr>
      <w:tr>
        <w:tblPrEx>
          <w:tblCellMar>
            <w:top w:w="0" w:type="dxa"/>
            <w:left w:w="0" w:type="dxa"/>
            <w:bottom w:w="0" w:type="dxa"/>
            <w:right w:w="0" w:type="dxa"/>
          </w:tblCellMar>
        </w:tblPrEx>
        <w:trPr>
          <w:trHeight w:val="581" w:hRule="atLeast"/>
        </w:trPr>
        <w:tc>
          <w:tcPr>
            <w:tcW w:w="2411" w:type="dxa"/>
            <w:tcBorders>
              <w:top w:val="nil"/>
              <w:left w:val="single" w:color="auto" w:sz="8" w:space="0"/>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p>
        </w:tc>
        <w:tc>
          <w:tcPr>
            <w:tcW w:w="1489"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p>
        </w:tc>
        <w:tc>
          <w:tcPr>
            <w:tcW w:w="1487"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p>
        </w:tc>
        <w:tc>
          <w:tcPr>
            <w:tcW w:w="1926" w:type="dxa"/>
            <w:tcBorders>
              <w:top w:val="nil"/>
              <w:left w:val="nil"/>
              <w:bottom w:val="single" w:color="auto" w:sz="8" w:space="0"/>
              <w:right w:val="single" w:color="auto" w:sz="8" w:space="0"/>
            </w:tcBorders>
            <w:tcMar>
              <w:left w:w="108" w:type="dxa"/>
              <w:right w:w="108" w:type="dxa"/>
            </w:tcMar>
            <w:vAlign w:val="center"/>
          </w:tcPr>
          <w:p>
            <w:pPr>
              <w:pStyle w:val="7"/>
              <w:widowControl/>
              <w:wordWrap w:val="0"/>
              <w:spacing w:before="0" w:beforeAutospacing="0" w:after="0" w:afterAutospacing="0" w:line="560" w:lineRule="atLeast"/>
              <w:jc w:val="both"/>
              <w:rPr>
                <w:rFonts w:ascii="仿宋" w:hAnsi="仿宋" w:eastAsia="仿宋" w:cs="仿宋"/>
                <w:color w:val="333333"/>
                <w:sz w:val="21"/>
                <w:szCs w:val="21"/>
              </w:rPr>
            </w:pPr>
          </w:p>
        </w:tc>
      </w:tr>
    </w:tbl>
    <w:p>
      <w:pPr>
        <w:widowControl/>
        <w:wordWrap w:val="0"/>
        <w:spacing w:line="560" w:lineRule="atLeast"/>
        <w:ind w:firstLine="643"/>
        <w:jc w:val="left"/>
        <w:rPr>
          <w:sz w:val="16"/>
          <w:szCs w:val="16"/>
        </w:rPr>
      </w:pPr>
      <w:r>
        <w:rPr>
          <w:rFonts w:ascii="Arial" w:hAnsi="Arial" w:cs="Arial"/>
          <w:color w:val="333333"/>
          <w:kern w:val="0"/>
          <w:szCs w:val="21"/>
        </w:rPr>
        <w:t> </w:t>
      </w:r>
    </w:p>
    <w:p>
      <w:pPr>
        <w:pStyle w:val="7"/>
        <w:widowControl/>
        <w:wordWrap w:val="0"/>
        <w:spacing w:before="0" w:beforeAutospacing="0" w:after="0" w:afterAutospacing="0" w:line="560" w:lineRule="atLeast"/>
        <w:ind w:firstLine="645"/>
        <w:jc w:val="both"/>
        <w:rPr>
          <w:rFonts w:ascii="黑体" w:hAnsi="黑体" w:eastAsia="黑体" w:cs="黑体"/>
          <w:kern w:val="2"/>
          <w:sz w:val="32"/>
          <w:szCs w:val="32"/>
        </w:rPr>
      </w:pPr>
      <w:r>
        <w:rPr>
          <w:rFonts w:hint="eastAsia" w:ascii="黑体" w:hAnsi="黑体" w:eastAsia="黑体" w:cs="黑体"/>
          <w:kern w:val="2"/>
          <w:sz w:val="32"/>
          <w:szCs w:val="32"/>
        </w:rPr>
        <w:t>2、“三公”经费管理情况</w:t>
      </w:r>
    </w:p>
    <w:p>
      <w:pPr>
        <w:pStyle w:val="7"/>
        <w:widowControl/>
        <w:wordWrap w:val="0"/>
        <w:spacing w:before="0" w:beforeAutospacing="0" w:after="0" w:afterAutospacing="0" w:line="560" w:lineRule="atLeast"/>
        <w:ind w:firstLine="645"/>
        <w:jc w:val="both"/>
        <w:rPr>
          <w:rFonts w:ascii="黑体" w:hAnsi="黑体" w:eastAsia="黑体" w:cs="黑体"/>
          <w:kern w:val="2"/>
          <w:sz w:val="32"/>
          <w:szCs w:val="32"/>
        </w:rPr>
      </w:pPr>
      <w:r>
        <w:rPr>
          <w:rFonts w:hint="eastAsia" w:ascii="黑体" w:hAnsi="黑体" w:eastAsia="黑体" w:cs="黑体"/>
          <w:kern w:val="2"/>
          <w:sz w:val="32"/>
          <w:szCs w:val="32"/>
        </w:rPr>
        <w:t>（1）“三公”经费预算执行情况</w:t>
      </w:r>
    </w:p>
    <w:p>
      <w:pPr>
        <w:pStyle w:val="7"/>
        <w:widowControl/>
        <w:wordWrap w:val="0"/>
        <w:spacing w:before="0" w:beforeAutospacing="0" w:after="0" w:afterAutospacing="0" w:line="600" w:lineRule="exact"/>
        <w:ind w:left="298" w:leftChars="142"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2020</w:t>
      </w:r>
      <w:r>
        <w:rPr>
          <w:rFonts w:ascii="仿宋" w:hAnsi="仿宋" w:eastAsia="仿宋" w:cs="仿宋"/>
          <w:kern w:val="2"/>
          <w:sz w:val="32"/>
          <w:szCs w:val="32"/>
        </w:rPr>
        <w:t>年“三公”经费总预算</w:t>
      </w:r>
      <w:r>
        <w:rPr>
          <w:rFonts w:hint="eastAsia" w:ascii="仿宋" w:hAnsi="仿宋" w:eastAsia="仿宋" w:cs="仿宋"/>
          <w:kern w:val="2"/>
          <w:sz w:val="32"/>
          <w:szCs w:val="32"/>
        </w:rPr>
        <w:t>12</w:t>
      </w:r>
      <w:r>
        <w:rPr>
          <w:rFonts w:ascii="仿宋" w:hAnsi="仿宋" w:eastAsia="仿宋" w:cs="仿宋"/>
          <w:kern w:val="2"/>
          <w:sz w:val="32"/>
          <w:szCs w:val="32"/>
        </w:rPr>
        <w:t>万元，其中公务接待费</w:t>
      </w:r>
      <w:r>
        <w:rPr>
          <w:rFonts w:hint="eastAsia" w:ascii="仿宋" w:hAnsi="仿宋" w:eastAsia="仿宋" w:cs="仿宋"/>
          <w:kern w:val="2"/>
          <w:sz w:val="32"/>
          <w:szCs w:val="32"/>
        </w:rPr>
        <w:t>5</w:t>
      </w:r>
      <w:r>
        <w:rPr>
          <w:rFonts w:ascii="仿宋" w:hAnsi="仿宋" w:eastAsia="仿宋" w:cs="仿宋"/>
          <w:kern w:val="2"/>
          <w:sz w:val="32"/>
          <w:szCs w:val="32"/>
        </w:rPr>
        <w:t>万元；因公出国境费</w:t>
      </w:r>
      <w:r>
        <w:rPr>
          <w:rFonts w:hint="eastAsia" w:ascii="仿宋" w:hAnsi="仿宋" w:eastAsia="仿宋" w:cs="仿宋"/>
          <w:kern w:val="2"/>
          <w:sz w:val="32"/>
          <w:szCs w:val="32"/>
        </w:rPr>
        <w:t>0</w:t>
      </w:r>
      <w:r>
        <w:rPr>
          <w:rFonts w:ascii="仿宋" w:hAnsi="仿宋" w:eastAsia="仿宋" w:cs="仿宋"/>
          <w:kern w:val="2"/>
          <w:sz w:val="32"/>
          <w:szCs w:val="32"/>
        </w:rPr>
        <w:t>万元；公务车购置及运行维护费</w:t>
      </w:r>
      <w:r>
        <w:rPr>
          <w:rFonts w:hint="eastAsia" w:ascii="仿宋" w:hAnsi="仿宋" w:eastAsia="仿宋" w:cs="仿宋"/>
          <w:kern w:val="2"/>
          <w:sz w:val="32"/>
          <w:szCs w:val="32"/>
        </w:rPr>
        <w:t>7</w:t>
      </w:r>
      <w:r>
        <w:rPr>
          <w:rFonts w:ascii="仿宋" w:hAnsi="仿宋" w:eastAsia="仿宋" w:cs="仿宋"/>
          <w:kern w:val="2"/>
          <w:sz w:val="32"/>
          <w:szCs w:val="32"/>
        </w:rPr>
        <w:t>万元。</w:t>
      </w:r>
      <w:r>
        <w:rPr>
          <w:rFonts w:hint="eastAsia" w:ascii="仿宋" w:hAnsi="仿宋" w:eastAsia="仿宋" w:cs="仿宋"/>
          <w:kern w:val="2"/>
          <w:sz w:val="32"/>
          <w:szCs w:val="32"/>
        </w:rPr>
        <w:t>2020</w:t>
      </w:r>
      <w:r>
        <w:rPr>
          <w:rFonts w:ascii="仿宋" w:hAnsi="仿宋" w:eastAsia="仿宋" w:cs="仿宋"/>
          <w:kern w:val="2"/>
          <w:sz w:val="32"/>
          <w:szCs w:val="32"/>
        </w:rPr>
        <w:t>年“三公”经费总支出</w:t>
      </w:r>
      <w:r>
        <w:rPr>
          <w:rFonts w:hint="eastAsia" w:ascii="仿宋" w:hAnsi="仿宋" w:eastAsia="仿宋" w:cs="仿宋"/>
          <w:kern w:val="2"/>
          <w:sz w:val="32"/>
          <w:szCs w:val="32"/>
        </w:rPr>
        <w:t>6.81</w:t>
      </w:r>
      <w:r>
        <w:rPr>
          <w:rFonts w:ascii="仿宋" w:hAnsi="仿宋" w:eastAsia="仿宋" w:cs="仿宋"/>
          <w:kern w:val="2"/>
          <w:sz w:val="32"/>
          <w:szCs w:val="32"/>
        </w:rPr>
        <w:t>万元，其中公务接待费</w:t>
      </w:r>
      <w:r>
        <w:rPr>
          <w:rFonts w:hint="eastAsia" w:ascii="仿宋" w:hAnsi="仿宋" w:eastAsia="仿宋" w:cs="仿宋"/>
          <w:kern w:val="2"/>
          <w:sz w:val="32"/>
          <w:szCs w:val="32"/>
        </w:rPr>
        <w:t>4.80</w:t>
      </w:r>
      <w:r>
        <w:rPr>
          <w:rFonts w:ascii="仿宋" w:hAnsi="仿宋" w:eastAsia="仿宋" w:cs="仿宋"/>
          <w:kern w:val="2"/>
          <w:sz w:val="32"/>
          <w:szCs w:val="32"/>
        </w:rPr>
        <w:t>万元；因公出国境费</w:t>
      </w:r>
      <w:r>
        <w:rPr>
          <w:rFonts w:hint="eastAsia" w:ascii="仿宋" w:hAnsi="仿宋" w:eastAsia="仿宋" w:cs="仿宋"/>
          <w:kern w:val="2"/>
          <w:sz w:val="32"/>
          <w:szCs w:val="32"/>
        </w:rPr>
        <w:t>0</w:t>
      </w:r>
      <w:r>
        <w:rPr>
          <w:rFonts w:ascii="仿宋" w:hAnsi="仿宋" w:eastAsia="仿宋" w:cs="仿宋"/>
          <w:kern w:val="2"/>
          <w:sz w:val="32"/>
          <w:szCs w:val="32"/>
        </w:rPr>
        <w:t>万元；公务车运行维护费</w:t>
      </w:r>
      <w:r>
        <w:rPr>
          <w:rFonts w:hint="eastAsia" w:ascii="仿宋" w:hAnsi="仿宋" w:eastAsia="仿宋" w:cs="仿宋"/>
          <w:kern w:val="2"/>
          <w:sz w:val="32"/>
          <w:szCs w:val="32"/>
        </w:rPr>
        <w:t>2.01</w:t>
      </w:r>
      <w:r>
        <w:rPr>
          <w:rFonts w:ascii="仿宋" w:hAnsi="仿宋" w:eastAsia="仿宋" w:cs="仿宋"/>
          <w:kern w:val="2"/>
          <w:sz w:val="32"/>
          <w:szCs w:val="32"/>
        </w:rPr>
        <w:t>万元。</w:t>
      </w:r>
      <w:r>
        <w:rPr>
          <w:rFonts w:hint="eastAsia" w:ascii="仿宋" w:hAnsi="仿宋" w:eastAsia="仿宋" w:cs="仿宋"/>
          <w:kern w:val="2"/>
          <w:sz w:val="32"/>
          <w:szCs w:val="32"/>
        </w:rPr>
        <w:t>2020</w:t>
      </w:r>
      <w:r>
        <w:rPr>
          <w:rFonts w:ascii="仿宋" w:hAnsi="仿宋" w:eastAsia="仿宋" w:cs="仿宋"/>
          <w:kern w:val="2"/>
          <w:sz w:val="32"/>
          <w:szCs w:val="32"/>
        </w:rPr>
        <w:t>年“三公”经费预算执行率为</w:t>
      </w:r>
      <w:r>
        <w:rPr>
          <w:rFonts w:hint="eastAsia" w:ascii="仿宋" w:hAnsi="仿宋" w:eastAsia="仿宋" w:cs="仿宋"/>
          <w:kern w:val="2"/>
          <w:sz w:val="32"/>
          <w:szCs w:val="32"/>
        </w:rPr>
        <w:t xml:space="preserve"> 56.75 </w:t>
      </w:r>
      <w:r>
        <w:rPr>
          <w:rFonts w:ascii="仿宋" w:hAnsi="仿宋" w:eastAsia="仿宋" w:cs="仿宋"/>
          <w:kern w:val="2"/>
          <w:sz w:val="32"/>
          <w:szCs w:val="32"/>
        </w:rPr>
        <w:t>%。</w:t>
      </w:r>
    </w:p>
    <w:p>
      <w:pPr>
        <w:pStyle w:val="7"/>
        <w:widowControl/>
        <w:wordWrap w:val="0"/>
        <w:spacing w:before="0" w:beforeAutospacing="0" w:after="0" w:afterAutospacing="0" w:line="560" w:lineRule="atLeast"/>
        <w:ind w:firstLine="645"/>
        <w:jc w:val="both"/>
        <w:rPr>
          <w:rFonts w:ascii="黑体" w:hAnsi="黑体" w:eastAsia="黑体" w:cs="黑体"/>
          <w:kern w:val="2"/>
          <w:sz w:val="32"/>
          <w:szCs w:val="32"/>
        </w:rPr>
      </w:pPr>
      <w:r>
        <w:rPr>
          <w:rFonts w:hint="eastAsia" w:ascii="黑体" w:hAnsi="黑体" w:eastAsia="黑体" w:cs="黑体"/>
          <w:kern w:val="2"/>
          <w:sz w:val="32"/>
          <w:szCs w:val="32"/>
        </w:rPr>
        <w:t>3、其他支出管理情况</w:t>
      </w:r>
    </w:p>
    <w:p>
      <w:pPr>
        <w:pStyle w:val="7"/>
        <w:widowControl/>
        <w:wordWrap w:val="0"/>
        <w:spacing w:before="0" w:beforeAutospacing="0" w:after="0" w:afterAutospacing="0" w:line="560" w:lineRule="atLeast"/>
        <w:ind w:firstLine="645"/>
        <w:jc w:val="both"/>
        <w:rPr>
          <w:rFonts w:ascii="仿宋" w:hAnsi="仿宋" w:eastAsia="仿宋" w:cs="仿宋"/>
          <w:kern w:val="2"/>
          <w:sz w:val="32"/>
          <w:szCs w:val="32"/>
        </w:rPr>
      </w:pPr>
      <w:r>
        <w:rPr>
          <w:rFonts w:hint="eastAsia" w:ascii="黑体" w:hAnsi="黑体" w:eastAsia="黑体" w:cs="黑体"/>
          <w:kern w:val="2"/>
          <w:sz w:val="32"/>
          <w:szCs w:val="32"/>
        </w:rPr>
        <w:t>（1）会议支出</w:t>
      </w:r>
    </w:p>
    <w:p>
      <w:pPr>
        <w:pStyle w:val="7"/>
        <w:widowControl/>
        <w:wordWrap w:val="0"/>
        <w:spacing w:before="0" w:beforeAutospacing="0" w:after="0" w:afterAutospacing="0" w:line="560" w:lineRule="atLeast"/>
        <w:ind w:firstLine="645"/>
        <w:jc w:val="both"/>
        <w:rPr>
          <w:rFonts w:ascii="仿宋" w:hAnsi="仿宋" w:eastAsia="仿宋" w:cs="仿宋"/>
          <w:kern w:val="2"/>
          <w:sz w:val="32"/>
          <w:szCs w:val="32"/>
        </w:rPr>
      </w:pPr>
      <w:r>
        <w:rPr>
          <w:rFonts w:hint="eastAsia" w:ascii="仿宋" w:hAnsi="仿宋" w:eastAsia="仿宋" w:cs="仿宋"/>
          <w:kern w:val="2"/>
          <w:sz w:val="32"/>
          <w:szCs w:val="32"/>
        </w:rPr>
        <w:t>2020</w:t>
      </w:r>
      <w:r>
        <w:rPr>
          <w:rFonts w:ascii="仿宋" w:hAnsi="仿宋" w:eastAsia="仿宋" w:cs="仿宋"/>
          <w:kern w:val="2"/>
          <w:sz w:val="32"/>
          <w:szCs w:val="32"/>
        </w:rPr>
        <w:t>年会议费预算</w:t>
      </w:r>
      <w:r>
        <w:rPr>
          <w:rFonts w:hint="eastAsia" w:ascii="仿宋" w:hAnsi="仿宋" w:eastAsia="仿宋" w:cs="仿宋"/>
          <w:kern w:val="2"/>
          <w:sz w:val="32"/>
          <w:szCs w:val="32"/>
        </w:rPr>
        <w:t>0</w:t>
      </w:r>
      <w:r>
        <w:rPr>
          <w:rFonts w:ascii="仿宋" w:hAnsi="仿宋" w:eastAsia="仿宋" w:cs="仿宋"/>
          <w:kern w:val="2"/>
          <w:sz w:val="32"/>
          <w:szCs w:val="32"/>
        </w:rPr>
        <w:t>万元，实际支出</w:t>
      </w:r>
      <w:r>
        <w:rPr>
          <w:rFonts w:hint="eastAsia" w:ascii="仿宋" w:hAnsi="仿宋" w:eastAsia="仿宋" w:cs="仿宋"/>
          <w:kern w:val="2"/>
          <w:sz w:val="32"/>
          <w:szCs w:val="32"/>
        </w:rPr>
        <w:t>0</w:t>
      </w:r>
      <w:r>
        <w:rPr>
          <w:rFonts w:ascii="仿宋" w:hAnsi="仿宋" w:eastAsia="仿宋" w:cs="仿宋"/>
          <w:kern w:val="2"/>
          <w:sz w:val="32"/>
          <w:szCs w:val="32"/>
        </w:rPr>
        <w:t>万元。</w:t>
      </w:r>
    </w:p>
    <w:p>
      <w:pPr>
        <w:pStyle w:val="7"/>
        <w:widowControl/>
        <w:wordWrap w:val="0"/>
        <w:spacing w:before="0" w:beforeAutospacing="0" w:after="0" w:afterAutospacing="0" w:line="560" w:lineRule="atLeast"/>
        <w:ind w:firstLine="645"/>
        <w:jc w:val="both"/>
        <w:rPr>
          <w:rFonts w:ascii="黑体" w:hAnsi="黑体" w:eastAsia="黑体" w:cs="黑体"/>
          <w:kern w:val="2"/>
          <w:sz w:val="32"/>
          <w:szCs w:val="32"/>
        </w:rPr>
      </w:pPr>
      <w:r>
        <w:rPr>
          <w:rFonts w:hint="eastAsia" w:ascii="黑体" w:hAnsi="黑体" w:eastAsia="黑体" w:cs="黑体"/>
          <w:kern w:val="2"/>
          <w:sz w:val="32"/>
          <w:szCs w:val="32"/>
        </w:rPr>
        <w:t>（2）楼堂馆所项目支出</w:t>
      </w:r>
    </w:p>
    <w:p>
      <w:pPr>
        <w:pStyle w:val="7"/>
        <w:widowControl/>
        <w:wordWrap w:val="0"/>
        <w:spacing w:before="0" w:beforeAutospacing="0" w:after="0" w:afterAutospacing="0" w:line="560" w:lineRule="atLeast"/>
        <w:ind w:firstLine="645"/>
        <w:jc w:val="both"/>
        <w:rPr>
          <w:rFonts w:ascii="仿宋" w:hAnsi="仿宋" w:eastAsia="仿宋" w:cs="仿宋"/>
          <w:kern w:val="2"/>
          <w:sz w:val="32"/>
          <w:szCs w:val="32"/>
        </w:rPr>
      </w:pPr>
      <w:r>
        <w:rPr>
          <w:rFonts w:hint="eastAsia" w:ascii="仿宋" w:hAnsi="仿宋" w:eastAsia="仿宋" w:cs="仿宋"/>
          <w:kern w:val="2"/>
          <w:sz w:val="32"/>
          <w:szCs w:val="32"/>
        </w:rPr>
        <w:t>2020</w:t>
      </w:r>
      <w:r>
        <w:rPr>
          <w:rFonts w:ascii="仿宋" w:hAnsi="仿宋" w:eastAsia="仿宋" w:cs="仿宋"/>
          <w:kern w:val="2"/>
          <w:sz w:val="32"/>
          <w:szCs w:val="32"/>
        </w:rPr>
        <w:t>年无楼堂馆所项目支出。</w:t>
      </w:r>
    </w:p>
    <w:p>
      <w:pPr>
        <w:pStyle w:val="7"/>
        <w:widowControl/>
        <w:wordWrap w:val="0"/>
        <w:spacing w:before="0" w:beforeAutospacing="0" w:after="0" w:afterAutospacing="0" w:line="560" w:lineRule="atLeast"/>
        <w:ind w:firstLine="645"/>
        <w:jc w:val="both"/>
        <w:rPr>
          <w:rFonts w:ascii="黑体" w:hAnsi="黑体" w:eastAsia="黑体" w:cs="黑体"/>
          <w:kern w:val="2"/>
          <w:sz w:val="32"/>
          <w:szCs w:val="32"/>
        </w:rPr>
      </w:pPr>
      <w:r>
        <w:rPr>
          <w:rFonts w:hint="eastAsia" w:ascii="黑体" w:hAnsi="黑体" w:eastAsia="黑体" w:cs="黑体"/>
          <w:kern w:val="2"/>
          <w:sz w:val="32"/>
          <w:szCs w:val="32"/>
        </w:rPr>
        <w:t>（3）机构编制和工资管理</w:t>
      </w:r>
    </w:p>
    <w:p>
      <w:pPr>
        <w:pStyle w:val="7"/>
        <w:widowControl/>
        <w:wordWrap w:val="0"/>
        <w:spacing w:before="0" w:beforeAutospacing="0" w:after="0" w:afterAutospacing="0" w:line="60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截止至</w:t>
      </w:r>
      <w:r>
        <w:rPr>
          <w:rFonts w:hint="eastAsia" w:ascii="仿宋" w:hAnsi="仿宋" w:eastAsia="仿宋" w:cs="仿宋"/>
          <w:kern w:val="2"/>
          <w:sz w:val="32"/>
          <w:szCs w:val="32"/>
        </w:rPr>
        <w:t>2020</w:t>
      </w:r>
      <w:r>
        <w:rPr>
          <w:rFonts w:ascii="仿宋" w:hAnsi="仿宋" w:eastAsia="仿宋" w:cs="仿宋"/>
          <w:kern w:val="2"/>
          <w:sz w:val="32"/>
          <w:szCs w:val="32"/>
        </w:rPr>
        <w:t>年12月31日，单位编制</w:t>
      </w:r>
      <w:r>
        <w:rPr>
          <w:rFonts w:hint="eastAsia" w:ascii="仿宋" w:hAnsi="仿宋" w:eastAsia="仿宋" w:cs="仿宋"/>
          <w:kern w:val="2"/>
          <w:sz w:val="32"/>
          <w:szCs w:val="32"/>
        </w:rPr>
        <w:t xml:space="preserve"> 22</w:t>
      </w:r>
      <w:r>
        <w:rPr>
          <w:rFonts w:ascii="仿宋" w:hAnsi="仿宋" w:eastAsia="仿宋" w:cs="仿宋"/>
          <w:kern w:val="2"/>
          <w:sz w:val="32"/>
          <w:szCs w:val="32"/>
        </w:rPr>
        <w:t>人，实有人数</w:t>
      </w:r>
      <w:r>
        <w:rPr>
          <w:rFonts w:hint="eastAsia" w:ascii="仿宋" w:hAnsi="仿宋" w:eastAsia="仿宋" w:cs="仿宋"/>
          <w:kern w:val="2"/>
          <w:sz w:val="32"/>
          <w:szCs w:val="32"/>
        </w:rPr>
        <w:t xml:space="preserve"> 13 </w:t>
      </w:r>
      <w:r>
        <w:rPr>
          <w:rFonts w:ascii="仿宋" w:hAnsi="仿宋" w:eastAsia="仿宋" w:cs="仿宋"/>
          <w:kern w:val="2"/>
          <w:sz w:val="32"/>
          <w:szCs w:val="32"/>
        </w:rPr>
        <w:t>人，没有超编情况。纳入财政工资统发人数</w:t>
      </w:r>
      <w:r>
        <w:rPr>
          <w:rFonts w:hint="eastAsia" w:ascii="仿宋" w:hAnsi="仿宋" w:eastAsia="仿宋" w:cs="仿宋"/>
          <w:kern w:val="2"/>
          <w:sz w:val="32"/>
          <w:szCs w:val="32"/>
        </w:rPr>
        <w:t>13</w:t>
      </w:r>
      <w:r>
        <w:rPr>
          <w:rFonts w:ascii="仿宋" w:hAnsi="仿宋" w:eastAsia="仿宋" w:cs="仿宋"/>
          <w:kern w:val="2"/>
          <w:sz w:val="32"/>
          <w:szCs w:val="32"/>
        </w:rPr>
        <w:t>人，全部按照省人事厅审核的工资标准发放工资，没有乱发津补贴情况。</w:t>
      </w:r>
    </w:p>
    <w:p>
      <w:pPr>
        <w:widowControl/>
        <w:wordWrap w:val="0"/>
        <w:spacing w:line="560" w:lineRule="atLeast"/>
        <w:ind w:firstLine="482"/>
        <w:jc w:val="left"/>
        <w:rPr>
          <w:rFonts w:ascii="黑体" w:hAnsi="黑体" w:eastAsia="黑体" w:cs="黑体"/>
          <w:sz w:val="32"/>
          <w:szCs w:val="32"/>
        </w:rPr>
      </w:pPr>
      <w:r>
        <w:rPr>
          <w:rFonts w:hint="eastAsia" w:ascii="黑体" w:hAnsi="黑体" w:eastAsia="黑体" w:cs="黑体"/>
          <w:bCs/>
          <w:color w:val="333333"/>
          <w:kern w:val="0"/>
          <w:sz w:val="32"/>
          <w:szCs w:val="32"/>
        </w:rPr>
        <w:t>（三）整体支出的有效性及可持续性分析</w:t>
      </w:r>
    </w:p>
    <w:p>
      <w:pPr>
        <w:spacing w:line="4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局始终坚持全州一盘棋工作思路，坚持目标导向、问题导向和结果导向，注重运用立体思维，紧紧围绕州政发〔2020〕1号、州政发〔2020〕5号、州政办发〔2020〕10号、《湘西自治州政务服务导则》等文件，州政府目标管理、州定20件民生实事等任务的落实，认真分解工作任务，配套制定下发了一系列实施细则、工作方案，强化监督考核，在狠抓落实上下功夫，统筹推进各项工作。我州《导则》的出台和组织实施、行政审批制度改革、一件事一次办、基层便民服务“一门式”全覆盖、复工复产优惠政策兑现等工作得到了省、州肯定推介和群众的认可赞扬。</w:t>
      </w:r>
    </w:p>
    <w:p>
      <w:pPr>
        <w:numPr>
          <w:ilvl w:val="0"/>
          <w:numId w:val="4"/>
        </w:numPr>
        <w:autoSpaceDE w:val="0"/>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围绕深化行政审批制度改革，着力推进政务服务事项的梳理。一是</w:t>
      </w:r>
      <w:r>
        <w:rPr>
          <w:rFonts w:hint="eastAsia" w:ascii="仿宋" w:hAnsi="仿宋" w:eastAsia="仿宋" w:cs="仿宋"/>
          <w:color w:val="000000"/>
          <w:sz w:val="32"/>
          <w:szCs w:val="32"/>
        </w:rPr>
        <w:t>完成州、县市行政许可和乡镇（街道）、村（社区）政务服务事项目录的动态调整,不断夯实了政务服务和依法行政的工作基础。</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探索相对集中行政许可权改革试点。</w:t>
      </w:r>
      <w:r>
        <w:rPr>
          <w:rFonts w:hint="eastAsia" w:ascii="仿宋" w:hAnsi="仿宋" w:eastAsia="仿宋" w:cs="仿宋"/>
          <w:b/>
          <w:color w:val="000000"/>
          <w:sz w:val="32"/>
          <w:szCs w:val="32"/>
        </w:rPr>
        <w:t>三是</w:t>
      </w:r>
      <w:r>
        <w:rPr>
          <w:rFonts w:hint="eastAsia" w:ascii="仿宋" w:hAnsi="仿宋" w:eastAsia="仿宋" w:cs="仿宋"/>
          <w:color w:val="000000"/>
          <w:sz w:val="32"/>
          <w:szCs w:val="32"/>
        </w:rPr>
        <w:t>加快推进中介服务。</w:t>
      </w:r>
    </w:p>
    <w:p>
      <w:pPr>
        <w:numPr>
          <w:ilvl w:val="0"/>
          <w:numId w:val="4"/>
        </w:numPr>
        <w:autoSpaceDE w:val="0"/>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围绕《湘西自治州政务服务导则》的落实，着力推动政务服务标准化。一是</w:t>
      </w:r>
      <w:r>
        <w:rPr>
          <w:rFonts w:hint="eastAsia" w:ascii="仿宋" w:hAnsi="仿宋" w:eastAsia="仿宋" w:cs="仿宋"/>
          <w:color w:val="000000"/>
          <w:sz w:val="32"/>
          <w:szCs w:val="32"/>
        </w:rPr>
        <w:t>强化学习宣传抓落实。通过召开全州县市局长会议，组织学习宣传《导则》、安排部署落实。</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强化目标任务抓落实。对《导则》提出的各项工作要求和任务及时进行分解，制定了具体细化落实方案，统筹推动《导则》各项工作落地见效。</w:t>
      </w:r>
      <w:r>
        <w:rPr>
          <w:rFonts w:hint="eastAsia" w:ascii="仿宋" w:hAnsi="仿宋" w:eastAsia="仿宋" w:cs="仿宋"/>
          <w:b/>
          <w:color w:val="000000"/>
          <w:sz w:val="32"/>
          <w:szCs w:val="32"/>
        </w:rPr>
        <w:t>三是</w:t>
      </w:r>
      <w:r>
        <w:rPr>
          <w:rFonts w:hint="eastAsia" w:ascii="仿宋" w:hAnsi="仿宋" w:eastAsia="仿宋" w:cs="仿宋"/>
          <w:color w:val="000000"/>
          <w:sz w:val="32"/>
          <w:szCs w:val="32"/>
        </w:rPr>
        <w:t>强化统筹推进抓落实。</w:t>
      </w:r>
      <w:r>
        <w:rPr>
          <w:rFonts w:hint="eastAsia" w:ascii="仿宋" w:hAnsi="仿宋" w:eastAsia="仿宋"/>
          <w:color w:val="000000"/>
          <w:sz w:val="32"/>
          <w:szCs w:val="32"/>
        </w:rPr>
        <w:t>今年来，坚持以落实《导则》为主线，</w:t>
      </w:r>
      <w:r>
        <w:rPr>
          <w:rFonts w:hint="eastAsia" w:ascii="仿宋" w:hAnsi="仿宋" w:eastAsia="仿宋" w:cs="仿宋"/>
          <w:color w:val="000000"/>
          <w:sz w:val="32"/>
          <w:szCs w:val="32"/>
        </w:rPr>
        <w:t>围绕“八统一”要求，</w:t>
      </w:r>
      <w:r>
        <w:rPr>
          <w:rFonts w:hint="eastAsia" w:ascii="仿宋" w:hAnsi="仿宋" w:eastAsia="仿宋"/>
          <w:color w:val="000000"/>
          <w:sz w:val="32"/>
          <w:szCs w:val="32"/>
        </w:rPr>
        <w:t>细化实施方案。</w:t>
      </w:r>
      <w:r>
        <w:rPr>
          <w:rFonts w:hint="eastAsia" w:ascii="仿宋" w:hAnsi="仿宋" w:eastAsia="仿宋" w:cs="仿宋"/>
          <w:color w:val="000000"/>
          <w:sz w:val="32"/>
          <w:szCs w:val="32"/>
        </w:rPr>
        <w:t>今年全州共1815个村（社区）便民服务中心全部完成电子政务外网接入、48项村级服务事项在一体化平台的配置和账号分配工作，基层政务服务实现全覆盖，打通服务群众“最后一公里”，实现村民办事大事不出镇、小事不出村。</w:t>
      </w:r>
    </w:p>
    <w:p>
      <w:pPr>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（3）围绕“只进一扇门”，继续推进人进、权进、事进“三进”。</w:t>
      </w:r>
      <w:r>
        <w:rPr>
          <w:rFonts w:hint="eastAsia" w:ascii="仿宋" w:hAnsi="仿宋" w:eastAsia="仿宋" w:cs="仿宋"/>
          <w:color w:val="000000"/>
          <w:sz w:val="32"/>
          <w:szCs w:val="32"/>
        </w:rPr>
        <w:t>制定了《深入推进审批服务“三集中三到位”改革实施方案》，通过调度和督促部门自查，州本级保留的行政许可事项在窗口全部实现“三进”，州本级依申请类公共服务事项315项，全部完成在一体化平台的填报。</w:t>
      </w:r>
    </w:p>
    <w:p>
      <w:pPr>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（4）围绕“一件事一次办”改革，着力推进跨域通办、智能导办。</w:t>
      </w:r>
      <w:r>
        <w:rPr>
          <w:rFonts w:hint="eastAsia" w:ascii="仿宋" w:hAnsi="仿宋" w:eastAsia="仿宋" w:cs="仿宋"/>
          <w:color w:val="000000"/>
          <w:sz w:val="32"/>
          <w:szCs w:val="32"/>
        </w:rPr>
        <w:t>今年，我局继续把“一件事一次办”改革作为便民利民，整治形式主义、官僚主义的重要抓手。</w:t>
      </w:r>
      <w:r>
        <w:rPr>
          <w:rFonts w:hint="eastAsia" w:ascii="仿宋" w:hAnsi="仿宋" w:eastAsia="仿宋" w:cs="仿宋"/>
          <w:b/>
          <w:color w:val="000000"/>
          <w:sz w:val="32"/>
          <w:szCs w:val="32"/>
        </w:rPr>
        <w:t>一是</w:t>
      </w:r>
      <w:r>
        <w:rPr>
          <w:rFonts w:hint="eastAsia" w:ascii="仿宋" w:hAnsi="仿宋" w:eastAsia="仿宋" w:cs="仿宋"/>
          <w:color w:val="000000"/>
          <w:sz w:val="32"/>
          <w:szCs w:val="32"/>
        </w:rPr>
        <w:t>全面开展事项再梳理确认。</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优化设置窗口。在各级政务大厅“一件事一次办”设置综合窗口和专窗。</w:t>
      </w:r>
      <w:r>
        <w:rPr>
          <w:rFonts w:hint="eastAsia" w:ascii="仿宋" w:hAnsi="仿宋" w:eastAsia="仿宋" w:cs="仿宋"/>
          <w:b/>
          <w:color w:val="000000"/>
          <w:sz w:val="32"/>
          <w:szCs w:val="32"/>
        </w:rPr>
        <w:t>三是</w:t>
      </w:r>
      <w:r>
        <w:rPr>
          <w:rFonts w:hint="eastAsia" w:ascii="仿宋" w:hAnsi="仿宋" w:eastAsia="仿宋" w:cs="仿宋"/>
          <w:color w:val="000000"/>
          <w:sz w:val="32"/>
          <w:szCs w:val="32"/>
        </w:rPr>
        <w:t>继续完善“一件事一次办”网上平台建设。</w:t>
      </w:r>
      <w:r>
        <w:rPr>
          <w:rFonts w:hint="eastAsia" w:ascii="仿宋" w:hAnsi="仿宋" w:eastAsia="仿宋" w:cs="仿宋"/>
          <w:b/>
          <w:color w:val="000000"/>
          <w:sz w:val="32"/>
          <w:szCs w:val="32"/>
        </w:rPr>
        <w:t>四是</w:t>
      </w:r>
      <w:r>
        <w:rPr>
          <w:rFonts w:hint="eastAsia" w:ascii="仿宋" w:hAnsi="仿宋" w:eastAsia="仿宋" w:cs="仿宋"/>
          <w:color w:val="000000"/>
          <w:sz w:val="32"/>
          <w:szCs w:val="32"/>
        </w:rPr>
        <w:t>全面落实省复工复产、“六稳”“六保”政策兑现“一件事一次办”。</w:t>
      </w:r>
    </w:p>
    <w:p>
      <w:pPr>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（5）围绕打造政务服务“一张网”，着力推进“互联网+政务服务”一体化平台建设应用。一是</w:t>
      </w:r>
      <w:r>
        <w:rPr>
          <w:rFonts w:hint="eastAsia" w:ascii="仿宋" w:hAnsi="仿宋" w:eastAsia="仿宋" w:cs="仿宋"/>
          <w:color w:val="000000"/>
          <w:sz w:val="32"/>
          <w:szCs w:val="32"/>
        </w:rPr>
        <w:t>进一步优化完善“互联网+政务服务”一体化平台功能，实现统一收件、派件功能。</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加快推进电子政务外网联通乡镇（街道）、村（社区）。</w:t>
      </w:r>
      <w:r>
        <w:rPr>
          <w:rFonts w:hint="eastAsia" w:ascii="仿宋" w:hAnsi="仿宋" w:eastAsia="仿宋" w:cs="仿宋"/>
          <w:b/>
          <w:color w:val="000000"/>
          <w:sz w:val="32"/>
          <w:szCs w:val="32"/>
        </w:rPr>
        <w:t>三是</w:t>
      </w:r>
      <w:r>
        <w:rPr>
          <w:rFonts w:hint="eastAsia" w:ascii="仿宋" w:hAnsi="仿宋" w:eastAsia="仿宋" w:cs="仿宋"/>
          <w:color w:val="000000"/>
          <w:sz w:val="32"/>
          <w:szCs w:val="32"/>
        </w:rPr>
        <w:t>全面开展网上政务服务事项整改提升，效果明显。</w:t>
      </w:r>
      <w:r>
        <w:rPr>
          <w:rFonts w:hint="eastAsia" w:ascii="仿宋" w:hAnsi="仿宋" w:eastAsia="仿宋" w:cs="仿宋"/>
          <w:b/>
          <w:color w:val="000000"/>
          <w:sz w:val="32"/>
          <w:szCs w:val="32"/>
        </w:rPr>
        <w:t>四是</w:t>
      </w:r>
      <w:r>
        <w:rPr>
          <w:rFonts w:hint="eastAsia" w:ascii="仿宋" w:hAnsi="仿宋" w:eastAsia="仿宋" w:cs="仿宋"/>
          <w:color w:val="000000"/>
          <w:sz w:val="32"/>
          <w:szCs w:val="32"/>
        </w:rPr>
        <w:t>完成电子证照和电子印章管理暂行办法的起草工作。</w:t>
      </w:r>
      <w:r>
        <w:rPr>
          <w:rFonts w:hint="eastAsia" w:ascii="仿宋" w:hAnsi="仿宋" w:eastAsia="仿宋" w:cs="仿宋"/>
          <w:b/>
          <w:color w:val="000000"/>
          <w:sz w:val="32"/>
          <w:szCs w:val="32"/>
        </w:rPr>
        <w:t>五是</w:t>
      </w:r>
      <w:r>
        <w:rPr>
          <w:rFonts w:hint="eastAsia" w:ascii="仿宋" w:hAnsi="仿宋" w:eastAsia="仿宋" w:cs="仿宋"/>
          <w:color w:val="000000"/>
          <w:sz w:val="32"/>
          <w:szCs w:val="32"/>
        </w:rPr>
        <w:t>建成政务服务“好差评”系统、“互联网+监管”等平台，建立行政效能线上监察“红黄牌”制度。</w:t>
      </w:r>
    </w:p>
    <w:p>
      <w:pPr>
        <w:autoSpaceDE w:val="0"/>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（6）围绕便民利民，着力推进基层便民服务“一门式”全覆盖。一是</w:t>
      </w:r>
      <w:r>
        <w:rPr>
          <w:rFonts w:hint="eastAsia" w:ascii="仿宋" w:hAnsi="仿宋" w:eastAsia="仿宋" w:cs="仿宋"/>
          <w:color w:val="000000"/>
          <w:sz w:val="32"/>
          <w:szCs w:val="32"/>
        </w:rPr>
        <w:t>加大简政放权，推动服务前移。按照“可前移全前移”的原则，今年前移村（社区）政务服务事项48项</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加快平台提质，夯实服务基础。</w:t>
      </w:r>
      <w:r>
        <w:rPr>
          <w:rFonts w:hint="eastAsia" w:ascii="仿宋" w:hAnsi="仿宋" w:eastAsia="仿宋" w:cs="仿宋"/>
          <w:b/>
          <w:color w:val="000000"/>
          <w:sz w:val="32"/>
          <w:szCs w:val="32"/>
        </w:rPr>
        <w:t>三是</w:t>
      </w:r>
      <w:r>
        <w:rPr>
          <w:rFonts w:hint="eastAsia" w:ascii="仿宋" w:hAnsi="仿宋" w:eastAsia="仿宋" w:cs="仿宋"/>
          <w:color w:val="000000"/>
          <w:sz w:val="32"/>
          <w:szCs w:val="32"/>
        </w:rPr>
        <w:t>加强队伍建设，提升服务能力。</w:t>
      </w:r>
      <w:r>
        <w:rPr>
          <w:rFonts w:hint="eastAsia" w:ascii="仿宋" w:hAnsi="仿宋" w:eastAsia="仿宋" w:cs="仿宋"/>
          <w:b/>
          <w:color w:val="000000"/>
          <w:sz w:val="32"/>
          <w:szCs w:val="32"/>
        </w:rPr>
        <w:t>四是</w:t>
      </w:r>
      <w:r>
        <w:rPr>
          <w:rFonts w:hint="eastAsia" w:ascii="仿宋" w:hAnsi="仿宋" w:eastAsia="仿宋" w:cs="仿宋"/>
          <w:color w:val="000000"/>
          <w:sz w:val="32"/>
          <w:szCs w:val="32"/>
        </w:rPr>
        <w:t>加紧综合调度，强化服务成效。</w:t>
      </w:r>
    </w:p>
    <w:p>
      <w:pPr>
        <w:spacing w:line="480" w:lineRule="exact"/>
        <w:ind w:firstLine="640" w:firstLineChars="200"/>
        <w:rPr>
          <w:rFonts w:ascii="仿宋" w:hAnsi="仿宋" w:eastAsia="仿宋" w:cs="仿宋"/>
          <w:color w:val="000000"/>
          <w:sz w:val="32"/>
          <w:szCs w:val="32"/>
        </w:rPr>
      </w:pPr>
      <w:r>
        <w:rPr>
          <w:rFonts w:hint="eastAsia" w:ascii="仿宋" w:hAnsi="仿宋" w:eastAsia="仿宋" w:cs="仿宋"/>
          <w:b/>
          <w:color w:val="000000"/>
          <w:sz w:val="32"/>
          <w:szCs w:val="32"/>
        </w:rPr>
        <w:t>（7）围绕深化工程建设项目审批制度改革，着力推进“一窗受理”“一网通办”。一是</w:t>
      </w:r>
      <w:r>
        <w:rPr>
          <w:rFonts w:hint="eastAsia" w:ascii="仿宋" w:hAnsi="仿宋" w:eastAsia="仿宋" w:cs="仿宋"/>
          <w:color w:val="000000"/>
          <w:sz w:val="32"/>
          <w:szCs w:val="32"/>
        </w:rPr>
        <w:t>推进州级项目和湘西经开区项目进入州政务中心工程建设项目综合服务窗口一窗受理、一网通办。</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建立了州政务服务中心工程建设项目综合服务窗口与各工程建设项目审批单位的工作联系机制。</w:t>
      </w:r>
      <w:r>
        <w:rPr>
          <w:rFonts w:hint="eastAsia" w:ascii="仿宋" w:hAnsi="仿宋" w:eastAsia="仿宋" w:cs="仿宋"/>
          <w:b/>
          <w:color w:val="000000"/>
          <w:sz w:val="32"/>
          <w:szCs w:val="32"/>
        </w:rPr>
        <w:t>三是</w:t>
      </w:r>
      <w:r>
        <w:rPr>
          <w:rFonts w:hint="eastAsia" w:ascii="仿宋" w:hAnsi="仿宋" w:eastAsia="仿宋" w:cs="仿宋"/>
          <w:color w:val="000000"/>
          <w:sz w:val="32"/>
          <w:szCs w:val="32"/>
        </w:rPr>
        <w:t>配合州工改办开展全州工程建设项目审批制度改革调研督导，对县市区工作开展情况进行实地督导</w:t>
      </w:r>
      <w:r>
        <w:rPr>
          <w:rFonts w:hint="eastAsia" w:ascii="仿宋" w:hAnsi="仿宋" w:eastAsia="仿宋" w:cs="仿宋"/>
          <w:b/>
          <w:bCs/>
          <w:color w:val="000000"/>
          <w:sz w:val="32"/>
          <w:szCs w:val="32"/>
        </w:rPr>
        <w:t>四</w:t>
      </w:r>
      <w:r>
        <w:rPr>
          <w:rFonts w:hint="eastAsia" w:ascii="仿宋" w:hAnsi="仿宋" w:eastAsia="仿宋" w:cs="仿宋"/>
          <w:b/>
          <w:color w:val="000000"/>
          <w:sz w:val="32"/>
          <w:szCs w:val="32"/>
        </w:rPr>
        <w:t>是</w:t>
      </w:r>
      <w:r>
        <w:rPr>
          <w:rFonts w:hint="eastAsia" w:ascii="仿宋" w:hAnsi="仿宋" w:eastAsia="仿宋" w:cs="仿宋"/>
          <w:color w:val="000000"/>
          <w:sz w:val="32"/>
          <w:szCs w:val="32"/>
        </w:rPr>
        <w:t>制定了《湘西州工程建设项目审批工作指南（第二版）》，发布了新版《湘西州项目审批流程指导图》，制定了《实行告知承诺制的审批事项清单（第一批）》；发布了《湘西州交通工程建设项目审批工作指南（试行）》、《湘西州城乡污水处理设施建设项目审批工作指南》并推进落实。</w:t>
      </w:r>
      <w:r>
        <w:rPr>
          <w:rFonts w:hint="eastAsia" w:ascii="仿宋" w:hAnsi="仿宋" w:eastAsia="仿宋" w:cs="仿宋"/>
          <w:b/>
          <w:bCs/>
          <w:color w:val="000000"/>
          <w:sz w:val="32"/>
          <w:szCs w:val="32"/>
        </w:rPr>
        <w:t>五</w:t>
      </w:r>
      <w:r>
        <w:rPr>
          <w:rFonts w:hint="eastAsia" w:ascii="仿宋" w:hAnsi="仿宋" w:eastAsia="仿宋" w:cs="仿宋"/>
          <w:b/>
          <w:color w:val="000000"/>
          <w:sz w:val="32"/>
          <w:szCs w:val="32"/>
        </w:rPr>
        <w:t>是</w:t>
      </w:r>
      <w:r>
        <w:rPr>
          <w:rFonts w:hint="eastAsia" w:ascii="仿宋" w:hAnsi="仿宋" w:eastAsia="仿宋" w:cs="仿宋"/>
          <w:color w:val="000000"/>
          <w:sz w:val="32"/>
          <w:szCs w:val="32"/>
        </w:rPr>
        <w:t>牵头开展了工程建设项目竣工验收阶段工作，制定了《湘西自治州工程建设项目综合服务窗口竣工联合验收流程》。</w:t>
      </w:r>
    </w:p>
    <w:p>
      <w:pPr>
        <w:spacing w:line="480" w:lineRule="exact"/>
        <w:ind w:firstLine="640" w:firstLineChars="200"/>
        <w:rPr>
          <w:rFonts w:ascii="仿宋" w:hAnsi="仿宋" w:eastAsia="仿宋" w:cs="仿宋"/>
          <w:b/>
          <w:color w:val="000000"/>
          <w:sz w:val="32"/>
          <w:szCs w:val="32"/>
        </w:rPr>
      </w:pPr>
      <w:r>
        <w:rPr>
          <w:rFonts w:hint="eastAsia" w:ascii="仿宋" w:hAnsi="仿宋" w:eastAsia="仿宋" w:cs="仿宋"/>
          <w:b/>
          <w:color w:val="000000"/>
          <w:sz w:val="32"/>
          <w:szCs w:val="32"/>
        </w:rPr>
        <w:t>（8）围绕服务实体经济，着力发挥“两个窗口”作用。一是</w:t>
      </w:r>
      <w:r>
        <w:rPr>
          <w:rFonts w:hint="eastAsia" w:ascii="仿宋" w:hAnsi="仿宋" w:eastAsia="仿宋" w:cs="仿宋"/>
          <w:color w:val="000000"/>
          <w:sz w:val="32"/>
          <w:szCs w:val="32"/>
        </w:rPr>
        <w:t>完成优惠政策梳理宣传。</w:t>
      </w:r>
      <w:r>
        <w:rPr>
          <w:rFonts w:hint="eastAsia" w:ascii="仿宋" w:hAnsi="仿宋" w:eastAsia="仿宋" w:cs="仿宋"/>
          <w:b/>
          <w:color w:val="000000"/>
          <w:sz w:val="32"/>
          <w:szCs w:val="32"/>
        </w:rPr>
        <w:t>二是</w:t>
      </w:r>
      <w:r>
        <w:rPr>
          <w:rFonts w:hint="eastAsia" w:ascii="仿宋" w:hAnsi="仿宋" w:eastAsia="仿宋" w:cs="仿宋"/>
          <w:color w:val="000000"/>
          <w:sz w:val="32"/>
          <w:szCs w:val="32"/>
        </w:rPr>
        <w:t>规范“两个窗口”运行。加大对县市政务中心优惠政策兑现和人才服务窗口设立的督办和调度，着力规范窗口管理运行。</w:t>
      </w:r>
      <w:r>
        <w:rPr>
          <w:rFonts w:hint="eastAsia" w:ascii="仿宋" w:hAnsi="仿宋" w:eastAsia="仿宋" w:cs="仿宋"/>
          <w:b/>
          <w:color w:val="000000"/>
          <w:sz w:val="32"/>
          <w:szCs w:val="32"/>
        </w:rPr>
        <w:t>三是</w:t>
      </w:r>
      <w:r>
        <w:rPr>
          <w:rFonts w:hint="eastAsia" w:ascii="仿宋" w:hAnsi="仿宋" w:eastAsia="仿宋" w:cs="仿宋"/>
          <w:color w:val="000000"/>
          <w:sz w:val="32"/>
          <w:szCs w:val="32"/>
        </w:rPr>
        <w:t>推进优惠政策兑现。</w:t>
      </w:r>
    </w:p>
    <w:p>
      <w:pPr>
        <w:spacing w:line="480" w:lineRule="exact"/>
        <w:ind w:firstLine="640"/>
        <w:rPr>
          <w:rFonts w:ascii="仿宋" w:hAnsi="仿宋" w:eastAsia="仿宋" w:cs="仿宋"/>
          <w:bCs/>
          <w:color w:val="000000"/>
          <w:sz w:val="32"/>
          <w:szCs w:val="32"/>
        </w:rPr>
      </w:pPr>
      <w:r>
        <w:rPr>
          <w:rFonts w:hint="eastAsia" w:ascii="仿宋" w:hAnsi="仿宋" w:eastAsia="仿宋" w:cs="仿宋"/>
          <w:b/>
          <w:color w:val="000000"/>
          <w:sz w:val="32"/>
          <w:szCs w:val="32"/>
        </w:rPr>
        <w:t>（9）统筹推进12345政府服务热线规范运行。</w:t>
      </w:r>
      <w:r>
        <w:rPr>
          <w:rFonts w:hint="eastAsia" w:ascii="仿宋" w:hAnsi="仿宋" w:eastAsia="仿宋" w:cs="仿宋"/>
          <w:color w:val="000000"/>
          <w:sz w:val="32"/>
          <w:szCs w:val="32"/>
        </w:rPr>
        <w:t>制定了热线服务流程标准、考核办法、管理办法和知识库更新等制度，强化政务热线标准化建设，优化完善咨询、求助、建议、投诉、举报等五类分类分级处置机制；强化监督考核管理，提升督办考评质效，确保公众诉求“件件有着落、事事有回应”。</w:t>
      </w:r>
    </w:p>
    <w:p>
      <w:pPr>
        <w:spacing w:line="600" w:lineRule="exact"/>
        <w:ind w:firstLine="640" w:firstLineChars="200"/>
        <w:rPr>
          <w:rFonts w:ascii="黑体" w:hAnsi="黑体" w:eastAsia="黑体"/>
          <w:sz w:val="32"/>
          <w:szCs w:val="32"/>
        </w:rPr>
      </w:pPr>
      <w:r>
        <w:rPr>
          <w:rFonts w:hint="eastAsia" w:ascii="仿宋" w:hAnsi="仿宋" w:eastAsia="仿宋" w:cs="仿宋"/>
          <w:b/>
          <w:color w:val="000000"/>
          <w:sz w:val="32"/>
          <w:szCs w:val="32"/>
        </w:rPr>
        <w:t>（10）完成州政府交办的各项工作任务。</w:t>
      </w:r>
      <w:r>
        <w:rPr>
          <w:rFonts w:hint="eastAsia" w:ascii="仿宋" w:hAnsi="仿宋" w:eastAsia="仿宋" w:cs="仿宋"/>
          <w:color w:val="000000"/>
          <w:sz w:val="32"/>
          <w:szCs w:val="32"/>
        </w:rPr>
        <w:t>先后适时完成了州政府目标管理考核全州“放管服”改革工作和州定20件民生实事工作季度数据采集上报；完成全州《全省深化“放管服”改革优化营商环境重点任务进展情况》资料采集和季度上报；做好国务院大督查、全国网上政务服务能力第三方评估等相关工作；做好全省、全州优化营商环境第三方评估和州深化“放管服”改革优化营商环境现场测评等工作；牵头完成省开展“马上办网上办就近办、一件事一次办”改革实施效果评估自评工作并综合上报州政府。</w:t>
      </w:r>
    </w:p>
    <w:p>
      <w:pPr>
        <w:spacing w:line="600" w:lineRule="exact"/>
        <w:ind w:left="640"/>
        <w:rPr>
          <w:rFonts w:ascii="黑体" w:hAnsi="黑体" w:eastAsia="黑体"/>
          <w:sz w:val="32"/>
          <w:szCs w:val="32"/>
        </w:rPr>
      </w:pPr>
      <w:r>
        <w:rPr>
          <w:rFonts w:hint="eastAsia" w:ascii="黑体" w:hAnsi="黑体" w:eastAsia="黑体"/>
          <w:sz w:val="32"/>
          <w:szCs w:val="32"/>
        </w:rPr>
        <w:t>七、综合评价情况及评价结论</w:t>
      </w:r>
    </w:p>
    <w:p>
      <w:pPr>
        <w:widowControl/>
        <w:spacing w:line="600" w:lineRule="exact"/>
        <w:ind w:firstLine="640" w:firstLineChars="200"/>
        <w:rPr>
          <w:rFonts w:ascii="黑体" w:hAnsi="黑体" w:eastAsia="黑体" w:cs="黑体"/>
          <w:sz w:val="32"/>
          <w:szCs w:val="32"/>
        </w:rPr>
      </w:pPr>
      <w:bookmarkStart w:id="3" w:name="_Toc6126"/>
      <w:bookmarkStart w:id="4" w:name="_Toc9872"/>
      <w:bookmarkStart w:id="5" w:name="_Toc11161436"/>
      <w:bookmarkStart w:id="6" w:name="_Toc31876"/>
      <w:bookmarkStart w:id="7" w:name="_Toc1707"/>
      <w:r>
        <w:rPr>
          <w:rFonts w:hint="eastAsia" w:ascii="黑体" w:hAnsi="黑体" w:eastAsia="黑体" w:cs="黑体"/>
          <w:sz w:val="32"/>
          <w:szCs w:val="32"/>
        </w:rPr>
        <w:t>1、投入</w:t>
      </w:r>
      <w:bookmarkEnd w:id="3"/>
      <w:bookmarkEnd w:id="4"/>
      <w:bookmarkEnd w:id="5"/>
      <w:bookmarkEnd w:id="6"/>
      <w:bookmarkEnd w:id="7"/>
      <w:r>
        <w:rPr>
          <w:rFonts w:hint="eastAsia" w:ascii="黑体" w:hAnsi="黑体" w:eastAsia="黑体" w:cs="黑体"/>
          <w:sz w:val="32"/>
          <w:szCs w:val="32"/>
        </w:rPr>
        <w:t>（各项指标得分情况和绩效分析）</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（1）目标设定</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绩效目标合理性：根据州财政局下达本单位的2020年度绩效目标任务及年初预算绩效目标，本单位2020年的绩效目标符合国家法律法规、国民经济和社会发展总体规划；符合“三定”方案确定的职责。</w:t>
      </w:r>
    </w:p>
    <w:p>
      <w:pPr>
        <w:widowControl/>
        <w:spacing w:line="600" w:lineRule="exact"/>
        <w:ind w:firstLine="640" w:firstLineChars="200"/>
        <w:rPr>
          <w:rFonts w:ascii="仿宋" w:hAnsi="仿宋" w:eastAsia="仿宋" w:cs="仿宋"/>
          <w:sz w:val="32"/>
          <w:szCs w:val="32"/>
        </w:rPr>
      </w:pPr>
      <w:bookmarkStart w:id="8" w:name="_Toc21509615"/>
      <w:bookmarkStart w:id="9" w:name="_Toc21445260"/>
      <w:bookmarkStart w:id="10" w:name="_Toc25315"/>
      <w:bookmarkStart w:id="11" w:name="_Toc20492946"/>
      <w:bookmarkStart w:id="12" w:name="_Toc21446489"/>
      <w:bookmarkStart w:id="13" w:name="_Toc13919"/>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绩效指标明确性：本单位2020年度的绩效指标清晰、细化、可衡量，与单位年度的任务数相对应，并与本年度部门预算资金相匹配。</w:t>
      </w:r>
      <w:bookmarkEnd w:id="8"/>
      <w:bookmarkEnd w:id="9"/>
      <w:bookmarkEnd w:id="10"/>
      <w:bookmarkEnd w:id="11"/>
      <w:bookmarkEnd w:id="12"/>
      <w:bookmarkEnd w:id="13"/>
      <w:r>
        <w:rPr>
          <w:rFonts w:hint="eastAsia" w:ascii="仿宋" w:hAnsi="仿宋" w:eastAsia="仿宋" w:cs="仿宋"/>
          <w:sz w:val="32"/>
          <w:szCs w:val="32"/>
        </w:rPr>
        <w:t xml:space="preserve"> </w:t>
      </w:r>
    </w:p>
    <w:p>
      <w:pPr>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 （2）预算配置</w:t>
      </w:r>
    </w:p>
    <w:p>
      <w:pPr>
        <w:widowControl/>
        <w:spacing w:line="600" w:lineRule="exact"/>
        <w:ind w:firstLine="640" w:firstLineChars="200"/>
        <w:rPr>
          <w:rFonts w:ascii="仿宋" w:hAnsi="仿宋" w:eastAsia="仿宋" w:cs="仿宋"/>
          <w:sz w:val="32"/>
          <w:szCs w:val="32"/>
        </w:rPr>
      </w:pPr>
      <w:bookmarkStart w:id="14" w:name="_Toc21446490"/>
      <w:bookmarkStart w:id="15" w:name="_Toc20492947"/>
      <w:bookmarkStart w:id="16" w:name="_Toc18857"/>
      <w:bookmarkStart w:id="17" w:name="_Toc21445261"/>
      <w:bookmarkStart w:id="18" w:name="_Toc21509616"/>
      <w:bookmarkStart w:id="19" w:name="_Toc27639"/>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在职人员控制率：本单位2020年年末编制人数为22人，实际在编在职人员为13人，实际在职人员数占编制数的比率＝（在职人员数÷编制数）×100%＝ 59.09%，</w:t>
      </w:r>
      <w:bookmarkEnd w:id="14"/>
      <w:bookmarkEnd w:id="15"/>
      <w:bookmarkEnd w:id="16"/>
      <w:bookmarkEnd w:id="17"/>
      <w:bookmarkEnd w:id="18"/>
      <w:bookmarkEnd w:id="19"/>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三公经费”变动率情况：本单位2020年度预算安排“三公经费”总额为12万元，2019年度预算安排的“三公经费”总额为6万元。“三公经费”变动率＝（本年度“三公经费”预算数－上年度“三公经费”预算数）÷上年度“三公经费”预算数×100%＝50%。</w:t>
      </w:r>
    </w:p>
    <w:p>
      <w:pPr>
        <w:widowControl/>
        <w:spacing w:line="600" w:lineRule="exact"/>
        <w:ind w:firstLine="640" w:firstLineChars="200"/>
        <w:rPr>
          <w:rFonts w:ascii="黑体" w:hAnsi="黑体" w:eastAsia="黑体" w:cs="黑体"/>
          <w:sz w:val="32"/>
          <w:szCs w:val="32"/>
        </w:rPr>
      </w:pPr>
      <w:bookmarkStart w:id="20" w:name="_Toc32004"/>
      <w:bookmarkStart w:id="21" w:name="_Toc23429"/>
      <w:bookmarkStart w:id="22" w:name="_Toc29033"/>
      <w:bookmarkStart w:id="23" w:name="_Toc11161437"/>
      <w:bookmarkStart w:id="24" w:name="_Toc18563"/>
      <w:bookmarkStart w:id="25" w:name="_Toc15080_WPSOffice_Level3"/>
      <w:r>
        <w:rPr>
          <w:rFonts w:hint="eastAsia" w:ascii="黑体" w:hAnsi="黑体" w:eastAsia="黑体" w:cs="黑体"/>
          <w:sz w:val="32"/>
          <w:szCs w:val="32"/>
        </w:rPr>
        <w:t>2、过程（各项指标得分情况和绩效分析）</w:t>
      </w:r>
      <w:bookmarkEnd w:id="20"/>
      <w:bookmarkEnd w:id="21"/>
      <w:bookmarkEnd w:id="22"/>
      <w:bookmarkEnd w:id="23"/>
    </w:p>
    <w:p>
      <w:pPr>
        <w:widowControl/>
        <w:spacing w:line="600" w:lineRule="exact"/>
        <w:ind w:firstLine="640" w:firstLineChars="200"/>
        <w:rPr>
          <w:rFonts w:ascii="仿宋" w:hAnsi="仿宋" w:eastAsia="仿宋" w:cs="仿宋"/>
          <w:sz w:val="32"/>
          <w:szCs w:val="32"/>
        </w:rPr>
      </w:pPr>
      <w:bookmarkStart w:id="26" w:name="_Toc21509618"/>
      <w:bookmarkStart w:id="27" w:name="_Toc10432"/>
      <w:bookmarkStart w:id="28" w:name="_Toc23980"/>
      <w:bookmarkStart w:id="29" w:name="_Toc21446492"/>
      <w:r>
        <w:rPr>
          <w:rFonts w:hint="eastAsia" w:ascii="仿宋" w:hAnsi="仿宋" w:eastAsia="仿宋" w:cs="仿宋"/>
          <w:sz w:val="32"/>
          <w:szCs w:val="32"/>
        </w:rPr>
        <w:t>（1）预算执行情况</w:t>
      </w:r>
      <w:bookmarkEnd w:id="24"/>
      <w:bookmarkEnd w:id="25"/>
      <w:bookmarkEnd w:id="26"/>
      <w:bookmarkEnd w:id="27"/>
      <w:bookmarkEnd w:id="28"/>
      <w:bookmarkEnd w:id="29"/>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①预算完成率：本单位上年结转和结余128.38万元，2020年年初预算265.21万元，本年追加预算273.7万元，年末结转和结余31.25万元，本单位预算完成率＝（上年结转+年初预算+本年追加预算－年末结余）÷（上年结转+年初预算+本年追加预算）×100%=95.31%。</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②预算控制率：本单位2020年预算追加273.7万元，年初预算为265.21万元，预算控制率＝（本年预算追加数÷年初预算）×100%＝103.20%。</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③新建楼堂馆所面积控制率：2020年本单位无完工的新建楼堂馆所。</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新建楼堂馆所投资概算控制率：</w:t>
      </w:r>
      <w:bookmarkStart w:id="30" w:name="_Toc4618"/>
      <w:bookmarkStart w:id="31" w:name="_Toc21446493"/>
      <w:bookmarkStart w:id="32" w:name="_Toc20790"/>
      <w:bookmarkStart w:id="33" w:name="_Toc21509619"/>
      <w:bookmarkStart w:id="34" w:name="_Toc4219_WPSOffice_Level3"/>
      <w:bookmarkStart w:id="35" w:name="_Toc15529"/>
      <w:r>
        <w:rPr>
          <w:rFonts w:hint="eastAsia" w:ascii="仿宋" w:hAnsi="仿宋" w:eastAsia="仿宋" w:cs="仿宋"/>
          <w:sz w:val="32"/>
          <w:szCs w:val="32"/>
        </w:rPr>
        <w:t>无。</w:t>
      </w:r>
    </w:p>
    <w:p>
      <w:pPr>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（2）预算管理情况</w:t>
      </w:r>
      <w:bookmarkEnd w:id="30"/>
      <w:bookmarkEnd w:id="31"/>
      <w:bookmarkEnd w:id="32"/>
      <w:bookmarkEnd w:id="33"/>
      <w:bookmarkEnd w:id="34"/>
      <w:bookmarkEnd w:id="35"/>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公用经费控制率：2020年度本单位公用经费支出46.07万元，年初预算安排公用经费为31.9万元，本单位公用经费控制率＝（实际支出公用经费总额÷预算安排公用经费总额）×100%＝144.42%。</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“三公经费”控制率：2020年度本单位“三公经费”实际支出数为6.81万元，“三公经费”年初预算数为12万元，本单位“三公经费”控制率＝（“三公经费”实际支出数÷“三公经费”预算安排数）×100%＝56% &lt;100%。</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政府采购执行率：2020年度本单位政府采购预算数为120.96万元，政府采购支出决算数为106.8万元，政府采购执行率=（实际政府采购金额/政府采购预算数）×100%=88.29%。但本单位政府采购项目基本上已按政府集中采购相关法律、法规、制度执行。</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管理制度健全性：本单位建立单位财务管理制度，在单位日常支出过程当中严格执行单位财务管理制度。</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sz w:val="32"/>
          <w:szCs w:val="32"/>
        </w:rPr>
        <w:t>资金使用合规性：本单位支出基本符合国家财经法规和财务管理制度规定以及有关专项资金管理办法的规定，资金的拨付基本上有完整的审批程序和手续，支出基本符合部门预算批复的用途，资金使用虽无无截留、挤占、挪用等情况。</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6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预决算信息公开性：本单位对2020年度的单位预决算和“三公经费”预决算情况已按财政相关要求在政府网站上进行公开，本单位基础数据信息和会计信息资料真实、完整，基础数据信息和汇集信息资料准确。</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（3）资产管理情况</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资产管理制度健全性：本单位为加强资产管理、规范资产管理行为，制定了合法、合规、完整的资产管理制度，相关资产管理制度得到有效执行，促进了职责履行和绩效目标任务完成。</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资产管理安全性：本单位的资产保存完整、使用合规、配置合理、处置规范、收入及时足额上缴，资产账务管理合规，账实相符。</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固定资产利用率：本单位2020年实际在用固定资产总额为314.90万元（指原值，已提折旧129.24万元，固定资产净值185.66万元），固定资产利用率=（实际在用固定资产总额/所有固定资产总额）×100%=58.96%</w:t>
      </w:r>
      <w:bookmarkStart w:id="36" w:name="_Toc21446494"/>
      <w:bookmarkStart w:id="37" w:name="_Toc11161440"/>
      <w:bookmarkStart w:id="38" w:name="_Toc841"/>
      <w:bookmarkStart w:id="39" w:name="_Toc16913"/>
      <w:bookmarkStart w:id="40" w:name="_Toc31303"/>
      <w:r>
        <w:rPr>
          <w:rFonts w:hint="eastAsia" w:ascii="仿宋" w:hAnsi="仿宋" w:eastAsia="仿宋" w:cs="仿宋"/>
          <w:sz w:val="32"/>
          <w:szCs w:val="32"/>
        </w:rPr>
        <w:t>。</w:t>
      </w:r>
    </w:p>
    <w:p>
      <w:pPr>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3、产出及效率（各项指标得分情况和绩效分析）</w:t>
      </w:r>
      <w:bookmarkEnd w:id="36"/>
      <w:bookmarkEnd w:id="37"/>
      <w:bookmarkEnd w:id="38"/>
      <w:bookmarkEnd w:id="39"/>
      <w:bookmarkEnd w:id="40"/>
    </w:p>
    <w:p>
      <w:pPr>
        <w:widowControl/>
        <w:spacing w:line="600" w:lineRule="exact"/>
        <w:ind w:firstLine="640" w:firstLineChars="200"/>
        <w:rPr>
          <w:rFonts w:ascii="仿宋" w:hAnsi="仿宋" w:eastAsia="仿宋" w:cs="仿宋"/>
          <w:sz w:val="32"/>
          <w:szCs w:val="32"/>
        </w:rPr>
      </w:pPr>
      <w:bookmarkStart w:id="41" w:name="_Toc21509621"/>
      <w:bookmarkStart w:id="42" w:name="_Toc20492952"/>
      <w:bookmarkStart w:id="43" w:name="_Toc7349"/>
      <w:bookmarkStart w:id="44" w:name="_Toc5863"/>
      <w:bookmarkStart w:id="45" w:name="_Toc24991"/>
      <w:bookmarkStart w:id="46" w:name="_Toc16754_WPSOffice_Level3"/>
      <w:r>
        <w:rPr>
          <w:rFonts w:hint="eastAsia" w:ascii="仿宋" w:hAnsi="仿宋" w:eastAsia="仿宋" w:cs="仿宋"/>
          <w:sz w:val="32"/>
          <w:szCs w:val="32"/>
        </w:rPr>
        <w:t>（1）职责履行</w:t>
      </w:r>
      <w:bookmarkEnd w:id="41"/>
      <w:bookmarkEnd w:id="42"/>
      <w:bookmarkEnd w:id="43"/>
      <w:bookmarkEnd w:id="44"/>
      <w:bookmarkEnd w:id="45"/>
      <w:bookmarkEnd w:id="46"/>
      <w:r>
        <w:rPr>
          <w:rFonts w:hint="eastAsia" w:ascii="仿宋" w:hAnsi="仿宋" w:eastAsia="仿宋" w:cs="仿宋"/>
          <w:sz w:val="32"/>
          <w:szCs w:val="32"/>
        </w:rPr>
        <w:t>情况</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重点工作完成率：根据单位年度工作目标，本单位圆满完成2020度所有重点工作，根据评分标准，该项指标得分8分。</w:t>
      </w:r>
      <w:bookmarkStart w:id="47" w:name="_Toc1732"/>
    </w:p>
    <w:p>
      <w:pPr>
        <w:widowControl/>
        <w:spacing w:line="600" w:lineRule="exact"/>
        <w:ind w:firstLine="640" w:firstLineChars="200"/>
        <w:rPr>
          <w:rFonts w:ascii="仿宋" w:hAnsi="仿宋" w:eastAsia="仿宋" w:cs="仿宋"/>
          <w:sz w:val="32"/>
          <w:szCs w:val="32"/>
        </w:rPr>
      </w:pPr>
      <w:bookmarkStart w:id="48" w:name="_Toc11964"/>
      <w:bookmarkStart w:id="49" w:name="_Toc21509622"/>
      <w:bookmarkStart w:id="50" w:name="_Toc23056"/>
      <w:bookmarkStart w:id="51" w:name="_Toc20492953"/>
      <w:bookmarkStart w:id="52" w:name="_Toc2043_WPSOffice_Level3"/>
      <w:r>
        <w:rPr>
          <w:rFonts w:hint="eastAsia" w:ascii="仿宋" w:hAnsi="仿宋" w:eastAsia="仿宋" w:cs="仿宋"/>
          <w:sz w:val="32"/>
          <w:szCs w:val="32"/>
        </w:rPr>
        <w:t>（2）履职效益</w:t>
      </w:r>
      <w:bookmarkEnd w:id="47"/>
      <w:bookmarkEnd w:id="48"/>
      <w:bookmarkEnd w:id="49"/>
      <w:bookmarkEnd w:id="50"/>
      <w:bookmarkEnd w:id="51"/>
      <w:bookmarkEnd w:id="52"/>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经济效益和社会效益：一是</w:t>
      </w:r>
      <w:r>
        <w:rPr>
          <w:rFonts w:hint="eastAsia" w:ascii="仿宋" w:hAnsi="仿宋" w:eastAsia="仿宋" w:cs="仿宋"/>
          <w:color w:val="000000"/>
          <w:sz w:val="32"/>
          <w:szCs w:val="32"/>
        </w:rPr>
        <w:t>2020年，州、县市优惠政策窗口受理416件、涉及金额878.99万元，人才窗口受理7件、涉及金额56.06万。税务、人社、医保、公积金等部门窗口兑现全州复工复产、“六稳”“六保”政策，全州总办件38303件，涉及金额8.54亿元，成效明显。二是我州12345政府服务热线一年来共受理群众来电30427件，每一个群众来电咨询、每一个诉求均做到认真解答、精心办理，诉求处置结果满意率达95.94%。真正发挥出12345政府服务热线的“连心桥”和“前哨战”的作用，特别是疫情发生以来发挥了不可替代的作用。</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②行政效能：本单位通过不断改善行政管理，加强制度体系建设，改进了文风会风，精简会议、文件，加强经费及资产管理，积极推动政务公开，行政效率提高，严格控制“三公经费”支出。</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③社会公众或服务对象满意度：本次绩效自评，我们向社会公众、服务企业、本部门内部员工发放问卷调查20份，从收回的问卷调查了解，社会公众、服务企业对本部门的工作现状评价，深入基层调查研究，掌握真实、准确情况，解决群众问题、促进社会经济发展，服务态度，依法办事、依法行政、杜绝不作为和乱作为，改革和完善机关办事制度，缩短办事时间、提高工作效率，实施信息公开，厉行节约、制止奢侈浪费行为等各方面均给予了满意的评价，满意度为96%</w:t>
      </w:r>
      <w:bookmarkStart w:id="53" w:name="_Toc30748"/>
      <w:bookmarkStart w:id="54" w:name="_Toc11161442"/>
      <w:bookmarkStart w:id="55" w:name="_Toc10474925"/>
      <w:bookmarkStart w:id="56" w:name="_Toc12397"/>
      <w:bookmarkStart w:id="57" w:name="_Toc16036"/>
      <w:r>
        <w:rPr>
          <w:rFonts w:hint="eastAsia" w:ascii="仿宋" w:hAnsi="仿宋" w:eastAsia="仿宋" w:cs="仿宋"/>
          <w:sz w:val="32"/>
          <w:szCs w:val="32"/>
        </w:rPr>
        <w:t>。</w:t>
      </w:r>
    </w:p>
    <w:p>
      <w:pPr>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4、绩效评价得分情况</w:t>
      </w:r>
      <w:bookmarkEnd w:id="53"/>
      <w:bookmarkEnd w:id="54"/>
      <w:bookmarkEnd w:id="55"/>
      <w:bookmarkEnd w:id="56"/>
      <w:bookmarkEnd w:id="57"/>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根据部门整体支出绩效评价指标体系规定的内容，经对各项指标进行评分，本部门2020年度部门整体支出绩效评价评价得分为92分，绩效评价等级为“ 优”。</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八、主要经验做法、存在的问题及原因分析</w:t>
      </w:r>
    </w:p>
    <w:p>
      <w:pPr>
        <w:widowControl/>
        <w:spacing w:line="600" w:lineRule="exact"/>
        <w:ind w:firstLine="640" w:firstLineChars="200"/>
        <w:rPr>
          <w:rFonts w:ascii="黑体" w:hAnsi="黑体" w:eastAsia="黑体" w:cs="黑体"/>
          <w:bCs/>
          <w:sz w:val="32"/>
          <w:szCs w:val="32"/>
        </w:rPr>
      </w:pPr>
      <w:bookmarkStart w:id="58" w:name="_Toc15375"/>
      <w:bookmarkStart w:id="59" w:name="_Toc11161443"/>
      <w:bookmarkStart w:id="60" w:name="_Toc31938"/>
      <w:bookmarkStart w:id="61" w:name="_Toc10474926"/>
      <w:bookmarkStart w:id="62" w:name="_Toc9807"/>
      <w:r>
        <w:rPr>
          <w:rFonts w:hint="eastAsia" w:ascii="黑体" w:hAnsi="黑体" w:eastAsia="黑体" w:cs="黑体"/>
          <w:bCs/>
          <w:sz w:val="32"/>
          <w:szCs w:val="32"/>
        </w:rPr>
        <w:t>（一）存在绩效问题</w:t>
      </w:r>
      <w:bookmarkEnd w:id="58"/>
      <w:bookmarkEnd w:id="59"/>
      <w:bookmarkEnd w:id="60"/>
      <w:bookmarkEnd w:id="61"/>
      <w:bookmarkEnd w:id="62"/>
    </w:p>
    <w:p>
      <w:pPr>
        <w:widowControl/>
        <w:spacing w:line="600" w:lineRule="exact"/>
        <w:ind w:firstLine="640" w:firstLineChars="200"/>
        <w:rPr>
          <w:rFonts w:ascii="仿宋" w:hAnsi="仿宋" w:eastAsia="仿宋" w:cs="仿宋"/>
          <w:sz w:val="32"/>
          <w:szCs w:val="32"/>
        </w:rPr>
      </w:pPr>
      <w:bookmarkStart w:id="63" w:name="_Toc1034"/>
      <w:bookmarkStart w:id="64" w:name="_Toc20197"/>
      <w:bookmarkStart w:id="65" w:name="_Toc21823"/>
      <w:r>
        <w:rPr>
          <w:rFonts w:ascii="仿宋" w:hAnsi="仿宋" w:eastAsia="仿宋" w:cs="仿宋"/>
          <w:sz w:val="32"/>
          <w:szCs w:val="32"/>
        </w:rPr>
        <w:t>1、预算管理过程中，仍存在绩效管理意识不强。</w:t>
      </w:r>
    </w:p>
    <w:p>
      <w:pPr>
        <w:widowControl/>
        <w:spacing w:line="600" w:lineRule="exact"/>
        <w:ind w:firstLine="640" w:firstLineChars="200"/>
        <w:rPr>
          <w:rFonts w:ascii="仿宋" w:hAnsi="仿宋" w:eastAsia="仿宋" w:cs="仿宋"/>
          <w:sz w:val="32"/>
          <w:szCs w:val="32"/>
        </w:rPr>
      </w:pPr>
      <w:r>
        <w:rPr>
          <w:rFonts w:ascii="仿宋" w:hAnsi="仿宋" w:eastAsia="仿宋" w:cs="仿宋"/>
          <w:sz w:val="32"/>
          <w:szCs w:val="32"/>
        </w:rPr>
        <w:t>在预算绩效管理过程中仍面临一些问题，主要集中在绩效管理意识薄弱，以及缺乏有效的监督机制。</w:t>
      </w:r>
    </w:p>
    <w:p>
      <w:pPr>
        <w:widowControl/>
        <w:spacing w:line="600" w:lineRule="exact"/>
        <w:ind w:firstLine="640" w:firstLineChars="200"/>
        <w:rPr>
          <w:rFonts w:ascii="仿宋" w:hAnsi="仿宋" w:eastAsia="仿宋" w:cs="仿宋"/>
          <w:sz w:val="32"/>
          <w:szCs w:val="32"/>
        </w:rPr>
      </w:pPr>
      <w:r>
        <w:rPr>
          <w:rFonts w:ascii="仿宋" w:hAnsi="仿宋" w:eastAsia="仿宋" w:cs="仿宋"/>
          <w:sz w:val="32"/>
          <w:szCs w:val="32"/>
        </w:rPr>
        <w:t>2、部分预算编制不够细化。</w:t>
      </w:r>
    </w:p>
    <w:p>
      <w:pPr>
        <w:pStyle w:val="7"/>
        <w:widowControl/>
        <w:wordWrap w:val="0"/>
        <w:spacing w:before="0" w:beforeAutospacing="0" w:after="0" w:afterAutospacing="0"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2020</w:t>
      </w:r>
      <w:r>
        <w:rPr>
          <w:rFonts w:ascii="仿宋" w:hAnsi="仿宋" w:eastAsia="仿宋" w:cs="仿宋"/>
          <w:kern w:val="2"/>
          <w:sz w:val="32"/>
          <w:szCs w:val="32"/>
        </w:rPr>
        <w:t>年</w:t>
      </w:r>
      <w:r>
        <w:rPr>
          <w:rFonts w:hint="eastAsia" w:ascii="仿宋" w:hAnsi="仿宋" w:eastAsia="仿宋" w:cs="仿宋"/>
          <w:kern w:val="2"/>
          <w:sz w:val="32"/>
          <w:szCs w:val="32"/>
        </w:rPr>
        <w:t>本单位</w:t>
      </w:r>
      <w:r>
        <w:rPr>
          <w:rFonts w:ascii="仿宋" w:hAnsi="仿宋" w:eastAsia="仿宋" w:cs="仿宋"/>
          <w:kern w:val="2"/>
          <w:sz w:val="32"/>
          <w:szCs w:val="32"/>
        </w:rPr>
        <w:t>预算执行率达到</w:t>
      </w:r>
      <w:r>
        <w:rPr>
          <w:rFonts w:hint="eastAsia" w:ascii="仿宋" w:hAnsi="仿宋" w:eastAsia="仿宋" w:cs="仿宋"/>
          <w:kern w:val="2"/>
          <w:sz w:val="32"/>
          <w:szCs w:val="32"/>
        </w:rPr>
        <w:t>100%</w:t>
      </w:r>
      <w:r>
        <w:rPr>
          <w:rFonts w:ascii="仿宋" w:hAnsi="仿宋" w:eastAsia="仿宋" w:cs="仿宋"/>
          <w:kern w:val="2"/>
          <w:sz w:val="32"/>
          <w:szCs w:val="32"/>
        </w:rPr>
        <w:t>左右，今后需要进一步完善预算编制方法，细化预算编制，规范预算编制程序，</w:t>
      </w:r>
      <w:r>
        <w:rPr>
          <w:rFonts w:hint="eastAsia" w:ascii="仿宋" w:hAnsi="仿宋" w:eastAsia="仿宋" w:cs="仿宋"/>
          <w:kern w:val="2"/>
          <w:sz w:val="32"/>
          <w:szCs w:val="32"/>
        </w:rPr>
        <w:t>同时</w:t>
      </w:r>
      <w:r>
        <w:rPr>
          <w:rFonts w:ascii="仿宋" w:hAnsi="仿宋" w:eastAsia="仿宋" w:cs="仿宋"/>
          <w:kern w:val="2"/>
          <w:sz w:val="32"/>
          <w:szCs w:val="32"/>
        </w:rPr>
        <w:t>合理安排经贸活动时间，确保预算编制真正成为</w:t>
      </w:r>
      <w:r>
        <w:rPr>
          <w:rFonts w:hint="eastAsia" w:ascii="仿宋" w:hAnsi="仿宋" w:eastAsia="仿宋" w:cs="仿宋"/>
          <w:kern w:val="2"/>
          <w:sz w:val="32"/>
          <w:szCs w:val="32"/>
        </w:rPr>
        <w:t>单位</w:t>
      </w:r>
      <w:r>
        <w:rPr>
          <w:rFonts w:ascii="仿宋" w:hAnsi="仿宋" w:eastAsia="仿宋" w:cs="仿宋"/>
          <w:kern w:val="2"/>
          <w:sz w:val="32"/>
          <w:szCs w:val="32"/>
        </w:rPr>
        <w:t>战略规划和年度工作目标的具体行动方案。</w:t>
      </w:r>
    </w:p>
    <w:p>
      <w:pPr>
        <w:pStyle w:val="7"/>
        <w:widowControl/>
        <w:wordWrap w:val="0"/>
        <w:spacing w:before="0" w:beforeAutospacing="0" w:after="0" w:afterAutospacing="0" w:line="60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3、部分资产配置不合理。</w:t>
      </w:r>
    </w:p>
    <w:p>
      <w:pPr>
        <w:pStyle w:val="7"/>
        <w:widowControl/>
        <w:wordWrap w:val="0"/>
        <w:spacing w:before="0" w:beforeAutospacing="0" w:after="0" w:afterAutospacing="0" w:line="60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由于配置标准未被严格执行，以及资产购建资金来源的多样性，导致单位所占用的资产与承担的任务不协调，资产配置不合理。缺乏健全的资产管理制度，购置固定资产时，没有严格的监管制度，存在着购置的盲目性和随意性。</w:t>
      </w:r>
    </w:p>
    <w:p>
      <w:pPr>
        <w:pStyle w:val="3"/>
        <w:spacing w:before="0" w:beforeAutospacing="0" w:after="0" w:afterAutospacing="0" w:line="600" w:lineRule="exact"/>
        <w:ind w:firstLine="640" w:firstLineChars="200"/>
        <w:jc w:val="both"/>
        <w:rPr>
          <w:rFonts w:ascii="黑体" w:hAnsi="黑体" w:eastAsia="黑体" w:cs="黑体"/>
          <w:b w:val="0"/>
          <w:sz w:val="32"/>
          <w:szCs w:val="32"/>
        </w:rPr>
      </w:pPr>
      <w:r>
        <w:rPr>
          <w:rFonts w:hint="eastAsia" w:ascii="黑体" w:hAnsi="黑体" w:eastAsia="黑体" w:cs="黑体"/>
          <w:b w:val="0"/>
          <w:sz w:val="32"/>
          <w:szCs w:val="32"/>
        </w:rPr>
        <w:t>（二）改进措施</w:t>
      </w:r>
      <w:bookmarkEnd w:id="63"/>
      <w:bookmarkEnd w:id="64"/>
      <w:bookmarkEnd w:id="65"/>
    </w:p>
    <w:p>
      <w:pPr>
        <w:pStyle w:val="7"/>
        <w:widowControl/>
        <w:wordWrap w:val="0"/>
        <w:spacing w:before="0" w:beforeAutospacing="0" w:after="0" w:afterAutospacing="0" w:line="60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1、加强预算绩效管理意识，提高财政资金的使用效益。</w:t>
      </w:r>
    </w:p>
    <w:p>
      <w:pPr>
        <w:pStyle w:val="7"/>
        <w:widowControl/>
        <w:wordWrap w:val="0"/>
        <w:spacing w:before="0" w:beforeAutospacing="0" w:after="0" w:afterAutospacing="0" w:line="600"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在预算编制的过程中，树立预算绩效目标意识，合理编制预算；在预算执行的过程中，有效地制定和实施监督检查制度，保障绩效目标得以顺利实现；在预算支出整体评价中，科学地进行绩效评价，总结存在的问题，分析原因，并提出改进建议，不断地提高预算绩效管理水平，提高财政资金的使用效益。</w:t>
      </w:r>
    </w:p>
    <w:p>
      <w:pPr>
        <w:widowControl/>
        <w:spacing w:line="54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 xml:space="preserve">2、规范账务处理，提高财务信息质量 </w:t>
      </w:r>
    </w:p>
    <w:p>
      <w:pPr>
        <w:widowControl/>
        <w:spacing w:line="54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严格按照《会计法》、《行政单位会计制度》、《行政单位财务规则》等规定执行财务核算，并结合实际情况，完整、准确地披露相关信息，尽可能地做到决算与预算相衔接。</w:t>
      </w:r>
    </w:p>
    <w:p>
      <w:pPr>
        <w:widowControl/>
        <w:spacing w:line="54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 xml:space="preserve">3、加强新行政单位会计制度和新预算法学习培训 </w:t>
      </w:r>
    </w:p>
    <w:p>
      <w:pPr>
        <w:widowControl/>
        <w:spacing w:line="54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numPr>
          <w:ilvl w:val="0"/>
          <w:numId w:val="5"/>
        </w:numPr>
        <w:adjustRightInd w:val="0"/>
        <w:snapToGrid w:val="0"/>
        <w:spacing w:line="600" w:lineRule="exact"/>
        <w:ind w:firstLine="640" w:firstLineChars="200"/>
        <w:rPr>
          <w:rFonts w:eastAsia="黑体"/>
          <w:sz w:val="32"/>
          <w:szCs w:val="32"/>
        </w:rPr>
      </w:pPr>
      <w:r>
        <w:rPr>
          <w:rFonts w:eastAsia="黑体"/>
          <w:sz w:val="32"/>
          <w:szCs w:val="32"/>
        </w:rPr>
        <w:t>有关建议</w:t>
      </w:r>
    </w:p>
    <w:p>
      <w:pPr>
        <w:adjustRightInd w:val="0"/>
        <w:snapToGrid w:val="0"/>
        <w:spacing w:line="600" w:lineRule="exact"/>
        <w:ind w:firstLine="640" w:firstLineChars="200"/>
        <w:rPr>
          <w:rFonts w:eastAsia="黑体"/>
          <w:sz w:val="32"/>
          <w:szCs w:val="32"/>
        </w:rPr>
      </w:pPr>
      <w:r>
        <w:rPr>
          <w:rFonts w:hint="eastAsia" w:eastAsia="黑体"/>
          <w:sz w:val="32"/>
          <w:szCs w:val="32"/>
        </w:rPr>
        <w:t>无</w:t>
      </w:r>
    </w:p>
    <w:p>
      <w:pPr>
        <w:numPr>
          <w:ilvl w:val="0"/>
          <w:numId w:val="5"/>
        </w:numPr>
        <w:spacing w:line="600" w:lineRule="exact"/>
        <w:ind w:firstLine="640" w:firstLineChars="200"/>
        <w:rPr>
          <w:rFonts w:eastAsia="黑体"/>
          <w:sz w:val="32"/>
          <w:szCs w:val="32"/>
        </w:rPr>
      </w:pPr>
      <w:r>
        <w:rPr>
          <w:rFonts w:eastAsia="黑体"/>
          <w:sz w:val="32"/>
          <w:szCs w:val="32"/>
        </w:rPr>
        <w:t>绩效自评结果拟应用和公开情况</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本绩效评价完成后，绩效自评结果将在本部门网站上进行信息公开，接受社会监督。</w:t>
      </w:r>
    </w:p>
    <w:p>
      <w:pPr>
        <w:adjustRightInd w:val="0"/>
        <w:snapToGrid w:val="0"/>
        <w:spacing w:line="60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pPr>
        <w:spacing w:line="600" w:lineRule="exact"/>
        <w:ind w:firstLine="640" w:firstLineChars="200"/>
        <w:rPr>
          <w:rFonts w:eastAsia="仿宋_GB2312"/>
          <w:sz w:val="32"/>
          <w:szCs w:val="32"/>
        </w:rPr>
      </w:pPr>
      <w:r>
        <w:rPr>
          <w:rFonts w:hint="eastAsia" w:eastAsia="仿宋_GB2312"/>
          <w:sz w:val="32"/>
          <w:szCs w:val="32"/>
        </w:rPr>
        <w:t>无</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DDA2"/>
    <w:multiLevelType w:val="singleLevel"/>
    <w:tmpl w:val="9CB8DDA2"/>
    <w:lvl w:ilvl="0" w:tentative="0">
      <w:start w:val="3"/>
      <w:numFmt w:val="chineseCounting"/>
      <w:suff w:val="nothing"/>
      <w:lvlText w:val="%1、"/>
      <w:lvlJc w:val="left"/>
      <w:rPr>
        <w:rFonts w:hint="eastAsia"/>
      </w:rPr>
    </w:lvl>
  </w:abstractNum>
  <w:abstractNum w:abstractNumId="1">
    <w:nsid w:val="A1B41529"/>
    <w:multiLevelType w:val="singleLevel"/>
    <w:tmpl w:val="A1B41529"/>
    <w:lvl w:ilvl="0" w:tentative="0">
      <w:start w:val="9"/>
      <w:numFmt w:val="chineseCounting"/>
      <w:suff w:val="nothing"/>
      <w:lvlText w:val="%1、"/>
      <w:lvlJc w:val="left"/>
      <w:rPr>
        <w:rFonts w:hint="eastAsia"/>
      </w:rPr>
    </w:lvl>
  </w:abstractNum>
  <w:abstractNum w:abstractNumId="2">
    <w:nsid w:val="2D77AC15"/>
    <w:multiLevelType w:val="singleLevel"/>
    <w:tmpl w:val="2D77AC15"/>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58D53D"/>
    <w:multiLevelType w:val="singleLevel"/>
    <w:tmpl w:val="7B58D53D"/>
    <w:lvl w:ilvl="0" w:tentative="0">
      <w:start w:val="2"/>
      <w:numFmt w:val="chineseCounting"/>
      <w:suff w:val="nothing"/>
      <w:lvlText w:val="（%1）"/>
      <w:lvlJc w:val="left"/>
      <w:pPr>
        <w:ind w:left="567"/>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6874EC"/>
    <w:rsid w:val="0371289F"/>
    <w:rsid w:val="08D4046D"/>
    <w:rsid w:val="0D2128C3"/>
    <w:rsid w:val="0E225947"/>
    <w:rsid w:val="0F160189"/>
    <w:rsid w:val="12040D82"/>
    <w:rsid w:val="121D504E"/>
    <w:rsid w:val="147E143A"/>
    <w:rsid w:val="1B9C2EFA"/>
    <w:rsid w:val="1BC51582"/>
    <w:rsid w:val="1BE911C4"/>
    <w:rsid w:val="1EE80266"/>
    <w:rsid w:val="237646FF"/>
    <w:rsid w:val="2E4D5506"/>
    <w:rsid w:val="2F7A0132"/>
    <w:rsid w:val="38130EAA"/>
    <w:rsid w:val="3A83468A"/>
    <w:rsid w:val="3AA0045D"/>
    <w:rsid w:val="43340846"/>
    <w:rsid w:val="45631415"/>
    <w:rsid w:val="46916251"/>
    <w:rsid w:val="4C414D08"/>
    <w:rsid w:val="4EEB5A0E"/>
    <w:rsid w:val="50155F99"/>
    <w:rsid w:val="50F11007"/>
    <w:rsid w:val="54723614"/>
    <w:rsid w:val="573811C9"/>
    <w:rsid w:val="58494F71"/>
    <w:rsid w:val="5B607F70"/>
    <w:rsid w:val="5C3A2243"/>
    <w:rsid w:val="5C4208CA"/>
    <w:rsid w:val="5F2E179E"/>
    <w:rsid w:val="60D94755"/>
    <w:rsid w:val="61F62AE1"/>
    <w:rsid w:val="63566FB3"/>
    <w:rsid w:val="63B1089F"/>
    <w:rsid w:val="64BC15B4"/>
    <w:rsid w:val="64D929D0"/>
    <w:rsid w:val="68B40E4E"/>
    <w:rsid w:val="6F14725D"/>
    <w:rsid w:val="6F2D47DB"/>
    <w:rsid w:val="71A26E8A"/>
    <w:rsid w:val="7297598D"/>
    <w:rsid w:val="7C32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112</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Angel farm 小英</cp:lastModifiedBy>
  <cp:lastPrinted>2021-07-28T00:12:00Z</cp:lastPrinted>
  <dcterms:modified xsi:type="dcterms:W3CDTF">2021-11-23T04:19:55Z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70073D16426F4AC59064542F80311BB9</vt:lpwstr>
  </property>
</Properties>
</file>